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90" w:rsidRDefault="00D500C3">
      <w:pPr>
        <w:snapToGrid w:val="0"/>
        <w:spacing w:after="305" w:line="420" w:lineRule="exact"/>
        <w:jc w:val="center"/>
        <w:rPr>
          <w:rStyle w:val="NormalCharacter"/>
          <w:b/>
          <w:sz w:val="32"/>
        </w:rPr>
      </w:pPr>
      <w:r w:rsidRPr="007924B6">
        <w:rPr>
          <w:rStyle w:val="NormalCharacter"/>
          <w:b/>
          <w:sz w:val="32"/>
        </w:rPr>
        <w:t>国家寄生虫资源库</w:t>
      </w:r>
      <w:r w:rsidR="00E212AC" w:rsidRPr="007924B6">
        <w:rPr>
          <w:rStyle w:val="NormalCharacter"/>
          <w:b/>
          <w:sz w:val="32"/>
        </w:rPr>
        <w:t>20</w:t>
      </w:r>
      <w:r w:rsidRPr="007924B6">
        <w:rPr>
          <w:rStyle w:val="NormalCharacter"/>
          <w:b/>
          <w:sz w:val="32"/>
        </w:rPr>
        <w:t>2</w:t>
      </w:r>
      <w:r w:rsidR="007D6439" w:rsidRPr="007924B6">
        <w:rPr>
          <w:rStyle w:val="NormalCharacter"/>
          <w:b/>
          <w:sz w:val="32"/>
        </w:rPr>
        <w:t>1</w:t>
      </w:r>
      <w:r w:rsidR="00E212AC" w:rsidRPr="007924B6">
        <w:rPr>
          <w:rStyle w:val="NormalCharacter"/>
          <w:b/>
          <w:sz w:val="32"/>
        </w:rPr>
        <w:t>年度开放课题指南</w:t>
      </w:r>
    </w:p>
    <w:p w:rsidR="00545190" w:rsidRDefault="00E212AC">
      <w:pPr>
        <w:snapToGrid w:val="0"/>
        <w:spacing w:before="152" w:after="61" w:line="312" w:lineRule="auto"/>
        <w:rPr>
          <w:rStyle w:val="NormalCharacter"/>
          <w:rFonts w:eastAsia="楷体_GB2312"/>
          <w:b/>
          <w:sz w:val="28"/>
        </w:rPr>
      </w:pPr>
      <w:r w:rsidRPr="007924B6">
        <w:rPr>
          <w:rStyle w:val="NormalCharacter"/>
          <w:rFonts w:eastAsia="楷体_GB2312"/>
          <w:b/>
          <w:sz w:val="28"/>
        </w:rPr>
        <w:t>一、</w:t>
      </w:r>
      <w:r w:rsidR="00CE7C0E" w:rsidRPr="007924B6">
        <w:rPr>
          <w:rStyle w:val="NormalCharacter"/>
          <w:rFonts w:eastAsia="楷体_GB2312"/>
          <w:b/>
          <w:sz w:val="28"/>
        </w:rPr>
        <w:t>开放课题</w:t>
      </w:r>
      <w:r w:rsidR="00D500C3" w:rsidRPr="007924B6">
        <w:rPr>
          <w:rStyle w:val="NormalCharacter"/>
          <w:rFonts w:eastAsia="楷体_GB2312"/>
          <w:b/>
          <w:sz w:val="28"/>
        </w:rPr>
        <w:t>主要工作内容和</w:t>
      </w:r>
      <w:r w:rsidRPr="007924B6">
        <w:rPr>
          <w:rStyle w:val="NormalCharacter"/>
          <w:rFonts w:eastAsia="楷体_GB2312"/>
          <w:b/>
          <w:sz w:val="28"/>
        </w:rPr>
        <w:t>方向</w:t>
      </w:r>
    </w:p>
    <w:p w:rsidR="00545190" w:rsidRDefault="005C0807" w:rsidP="005C0807">
      <w:pPr>
        <w:snapToGrid w:val="0"/>
        <w:spacing w:line="312" w:lineRule="auto"/>
        <w:ind w:firstLineChars="200" w:firstLine="408"/>
        <w:rPr>
          <w:rStyle w:val="NormalCharacter"/>
        </w:rPr>
      </w:pPr>
      <w:r w:rsidRPr="007924B6">
        <w:rPr>
          <w:rStyle w:val="NormalCharacter"/>
        </w:rPr>
        <w:t>构建国家寄生虫资源库，不仅是建设与国家生物安全相关的重大科技支撑装置之需要，也是推动寄生生物种质资源的收集整理工作，提升种质资源的共享利用率之需要。打造一个世界一流的寄生虫资源库，不但可以更好地为科学研究、疾病防控及经济生产等活动服务，还可以使寄生虫学的科研范围更广、研究水平更高，从而影响整个生命科学的进程。</w:t>
      </w:r>
    </w:p>
    <w:p w:rsidR="00545190" w:rsidRDefault="00CE7C0E" w:rsidP="008B2BAA">
      <w:pPr>
        <w:snapToGrid w:val="0"/>
        <w:spacing w:line="312" w:lineRule="auto"/>
        <w:ind w:firstLineChars="200" w:firstLine="408"/>
        <w:rPr>
          <w:rStyle w:val="NormalCharacter"/>
        </w:rPr>
      </w:pPr>
      <w:r w:rsidRPr="007924B6">
        <w:rPr>
          <w:rStyle w:val="NormalCharacter"/>
        </w:rPr>
        <w:t>寄生虫跨越动物界和原生生物界，拥有复杂的生活史和独特的生物学特性，既不同于普通的经济动物，又不归属于微生物。从研究的角度看，近年来研究领域主要关注寄生虫与其宿主之间的关系，探讨这些生物和环境之间的问题，更注重阐述他们生存的方式。因此目前以重点研发为首的课题主要聚焦细胞生物学、生物资讯学、分子生物学、免疫学、遗传学和生态学等内容。从应用的角度看，我国属于寄生虫病危害严重、流行广泛的国家，人体寄生虫病、动物寄生虫病及植物寄生虫病的防治是我国的常规任务，新发或罕见的虫种常有报道。</w:t>
      </w:r>
    </w:p>
    <w:p w:rsidR="00545190" w:rsidRDefault="00CE7C0E" w:rsidP="008B2BAA">
      <w:pPr>
        <w:snapToGrid w:val="0"/>
        <w:spacing w:line="312" w:lineRule="auto"/>
        <w:ind w:firstLineChars="200" w:firstLine="408"/>
        <w:rPr>
          <w:rStyle w:val="NormalCharacter"/>
        </w:rPr>
      </w:pPr>
      <w:r w:rsidRPr="008D3719">
        <w:rPr>
          <w:rStyle w:val="NormalCharacter"/>
        </w:rPr>
        <w:t>由于寄生虫种质资源的定义跨度较大，涉及生物学、医学、农牧、林业等多个行业和领域，因此寄生虫种质资源的收集较为复杂。</w:t>
      </w:r>
      <w:r w:rsidR="00645B2B" w:rsidRPr="008D3719">
        <w:rPr>
          <w:rStyle w:val="NormalCharacter"/>
        </w:rPr>
        <w:t>从</w:t>
      </w:r>
      <w:r w:rsidR="00645B2B" w:rsidRPr="008D3719">
        <w:rPr>
          <w:rStyle w:val="NormalCharacter"/>
        </w:rPr>
        <w:t>2020</w:t>
      </w:r>
      <w:r w:rsidR="00645B2B" w:rsidRPr="008D3719">
        <w:rPr>
          <w:rStyle w:val="NormalCharacter"/>
        </w:rPr>
        <w:t>年开始，</w:t>
      </w:r>
      <w:r w:rsidRPr="008D3719">
        <w:rPr>
          <w:rStyle w:val="NormalCharacter"/>
        </w:rPr>
        <w:t>资源库采用开放课题的方法，对国内外从事相关领域研究的科技团队进行资源合作整合。</w:t>
      </w:r>
      <w:r w:rsidR="008B2BAA" w:rsidRPr="008D3719">
        <w:rPr>
          <w:rStyle w:val="NormalCharacter"/>
        </w:rPr>
        <w:t>资源库</w:t>
      </w:r>
      <w:r w:rsidR="005C0807" w:rsidRPr="008D3719">
        <w:rPr>
          <w:rStyle w:val="NormalCharacter"/>
        </w:rPr>
        <w:t>将</w:t>
      </w:r>
      <w:r w:rsidR="008B2BAA" w:rsidRPr="008D3719">
        <w:rPr>
          <w:rStyle w:val="NormalCharacter"/>
        </w:rPr>
        <w:t>研究全球寄生虫资源种类与分布情况</w:t>
      </w:r>
      <w:r w:rsidR="005C0807" w:rsidRPr="008D3719">
        <w:rPr>
          <w:rStyle w:val="NormalCharacter"/>
        </w:rPr>
        <w:t>，</w:t>
      </w:r>
      <w:r w:rsidRPr="008D3719">
        <w:rPr>
          <w:rStyle w:val="NormalCharacter"/>
        </w:rPr>
        <w:t>并</w:t>
      </w:r>
      <w:r w:rsidR="008B2BAA" w:rsidRPr="008D3719">
        <w:rPr>
          <w:rStyle w:val="NormalCharacter"/>
        </w:rPr>
        <w:t>对照补充收集新发、罕见、入侵的寄生虫虫种资源，开展高水平的资源种类标准化研制，将资源收集与保存、科技资源汇交、资源应用等工作提升至</w:t>
      </w:r>
      <w:r w:rsidR="00D90B88" w:rsidRPr="008D3719">
        <w:rPr>
          <w:rStyle w:val="NormalCharacter"/>
        </w:rPr>
        <w:t>较高的</w:t>
      </w:r>
      <w:r w:rsidR="008B2BAA" w:rsidRPr="008D3719">
        <w:rPr>
          <w:rStyle w:val="NormalCharacter"/>
        </w:rPr>
        <w:t>水平。</w:t>
      </w:r>
    </w:p>
    <w:p w:rsidR="00545190" w:rsidRDefault="00545190" w:rsidP="008B2BAA">
      <w:pPr>
        <w:snapToGrid w:val="0"/>
        <w:spacing w:line="312" w:lineRule="auto"/>
        <w:ind w:firstLineChars="200" w:firstLine="408"/>
        <w:rPr>
          <w:rStyle w:val="NormalCharacter"/>
        </w:rPr>
      </w:pPr>
    </w:p>
    <w:p w:rsidR="00545190" w:rsidRDefault="005C0807">
      <w:pPr>
        <w:snapToGrid w:val="0"/>
        <w:spacing w:line="312" w:lineRule="auto"/>
        <w:ind w:firstLineChars="200" w:firstLine="410"/>
        <w:rPr>
          <w:rStyle w:val="NormalCharacter"/>
        </w:rPr>
      </w:pPr>
      <w:r w:rsidRPr="007924B6">
        <w:rPr>
          <w:rStyle w:val="NormalCharacter"/>
          <w:b/>
          <w:bCs/>
        </w:rPr>
        <w:t>资源库</w:t>
      </w:r>
      <w:r w:rsidR="00E212AC" w:rsidRPr="007924B6">
        <w:rPr>
          <w:rStyle w:val="NormalCharacter"/>
          <w:b/>
          <w:bCs/>
        </w:rPr>
        <w:t>主要</w:t>
      </w:r>
      <w:r w:rsidR="00D90B88" w:rsidRPr="007924B6">
        <w:rPr>
          <w:rStyle w:val="NormalCharacter"/>
          <w:b/>
          <w:bCs/>
        </w:rPr>
        <w:t>工作</w:t>
      </w:r>
      <w:r w:rsidR="00E212AC" w:rsidRPr="007924B6">
        <w:rPr>
          <w:rStyle w:val="NormalCharacter"/>
          <w:b/>
          <w:bCs/>
        </w:rPr>
        <w:t>方向：</w:t>
      </w:r>
    </w:p>
    <w:p w:rsidR="00545190" w:rsidRDefault="00E212AC" w:rsidP="00EC6D61">
      <w:pPr>
        <w:snapToGrid w:val="0"/>
        <w:spacing w:line="312" w:lineRule="auto"/>
        <w:ind w:firstLineChars="200" w:firstLine="408"/>
        <w:rPr>
          <w:rStyle w:val="NormalCharacter"/>
        </w:rPr>
      </w:pPr>
      <w:r w:rsidRPr="007924B6">
        <w:rPr>
          <w:rStyle w:val="NormalCharacter"/>
        </w:rPr>
        <w:t>方向</w:t>
      </w:r>
      <w:r w:rsidRPr="007924B6">
        <w:rPr>
          <w:rStyle w:val="NormalCharacter"/>
        </w:rPr>
        <w:t>1</w:t>
      </w:r>
      <w:r w:rsidRPr="007924B6">
        <w:rPr>
          <w:rStyle w:val="NormalCharacter"/>
        </w:rPr>
        <w:t>：</w:t>
      </w:r>
      <w:r w:rsidR="00EC6D61" w:rsidRPr="007924B6">
        <w:rPr>
          <w:rStyle w:val="NormalCharacter"/>
          <w:b/>
        </w:rPr>
        <w:t>扩大寄生虫种质资源收集整理的范围与品种。</w:t>
      </w:r>
      <w:r w:rsidR="00EC6D61" w:rsidRPr="007924B6">
        <w:rPr>
          <w:rStyle w:val="NormalCharacter"/>
        </w:rPr>
        <w:t>研究全球寄生虫资源种类与分布情况，在全球范围内通过现场采集、标本交换等方式，对照补充收集全球新发、罕见、入侵的寄生虫或媒介虫种资源；</w:t>
      </w:r>
      <w:r w:rsidR="00645B2B" w:rsidRPr="007924B6">
        <w:rPr>
          <w:rStyle w:val="NormalCharacter"/>
        </w:rPr>
        <w:t>对重要的病原媒介生物发起定向调查；</w:t>
      </w:r>
    </w:p>
    <w:p w:rsidR="00545190" w:rsidRDefault="00E212AC" w:rsidP="00EC6D61">
      <w:pPr>
        <w:snapToGrid w:val="0"/>
        <w:spacing w:line="312" w:lineRule="auto"/>
        <w:ind w:firstLineChars="200" w:firstLine="408"/>
        <w:rPr>
          <w:rStyle w:val="NormalCharacter"/>
        </w:rPr>
      </w:pPr>
      <w:r w:rsidRPr="007924B6">
        <w:rPr>
          <w:rStyle w:val="NormalCharacter"/>
        </w:rPr>
        <w:t>方向</w:t>
      </w:r>
      <w:r w:rsidRPr="007924B6">
        <w:rPr>
          <w:rStyle w:val="NormalCharacter"/>
        </w:rPr>
        <w:t>2</w:t>
      </w:r>
      <w:r w:rsidRPr="007924B6">
        <w:rPr>
          <w:rStyle w:val="NormalCharacter"/>
        </w:rPr>
        <w:t>：</w:t>
      </w:r>
      <w:r w:rsidR="00EC6D61" w:rsidRPr="007924B6">
        <w:rPr>
          <w:rStyle w:val="NormalCharacter"/>
          <w:b/>
        </w:rPr>
        <w:t>构建人体、动物、植物寄生生物种质资源遗传材料库。</w:t>
      </w:r>
      <w:r w:rsidR="00EC6D61" w:rsidRPr="007924B6">
        <w:rPr>
          <w:rStyle w:val="NormalCharacter"/>
        </w:rPr>
        <w:t>开展资源样本的生物学测定与研究，包括重要生物样本的</w:t>
      </w:r>
      <w:r w:rsidR="00EC6D61" w:rsidRPr="007924B6">
        <w:rPr>
          <w:rStyle w:val="NormalCharacter"/>
        </w:rPr>
        <w:t>DNA</w:t>
      </w:r>
      <w:r w:rsidR="00EC6D61" w:rsidRPr="007924B6">
        <w:rPr>
          <w:rStyle w:val="NormalCharacter"/>
        </w:rPr>
        <w:t>序列分析或种系分析，建立具有特色的遗传材料、种质资源等专</w:t>
      </w:r>
      <w:proofErr w:type="gramStart"/>
      <w:r w:rsidR="00EC6D61" w:rsidRPr="007924B6">
        <w:rPr>
          <w:rStyle w:val="NormalCharacter"/>
        </w:rPr>
        <w:t>项资源</w:t>
      </w:r>
      <w:proofErr w:type="gramEnd"/>
      <w:r w:rsidR="00EC6D61" w:rsidRPr="007924B6">
        <w:rPr>
          <w:rStyle w:val="NormalCharacter"/>
        </w:rPr>
        <w:t>库区和数据库；</w:t>
      </w:r>
    </w:p>
    <w:p w:rsidR="00545190" w:rsidRDefault="00E212AC">
      <w:pPr>
        <w:snapToGrid w:val="0"/>
        <w:spacing w:line="312" w:lineRule="auto"/>
        <w:ind w:firstLineChars="200" w:firstLine="408"/>
        <w:rPr>
          <w:rStyle w:val="NormalCharacter"/>
        </w:rPr>
      </w:pPr>
      <w:r w:rsidRPr="007924B6">
        <w:rPr>
          <w:rStyle w:val="NormalCharacter"/>
        </w:rPr>
        <w:t>方向</w:t>
      </w:r>
      <w:r w:rsidRPr="007924B6">
        <w:rPr>
          <w:rStyle w:val="NormalCharacter"/>
        </w:rPr>
        <w:t>3</w:t>
      </w:r>
      <w:r w:rsidRPr="007924B6">
        <w:rPr>
          <w:rStyle w:val="NormalCharacter"/>
        </w:rPr>
        <w:t>：</w:t>
      </w:r>
      <w:r w:rsidR="00EC6D61" w:rsidRPr="007924B6">
        <w:rPr>
          <w:rStyle w:val="NormalCharacter"/>
          <w:b/>
        </w:rPr>
        <w:t>构建寄生虫种质资源</w:t>
      </w:r>
      <w:r w:rsidR="000E1511" w:rsidRPr="007924B6">
        <w:rPr>
          <w:rStyle w:val="NormalCharacter"/>
          <w:b/>
        </w:rPr>
        <w:t>分子材料及其</w:t>
      </w:r>
      <w:r w:rsidR="00EC6D61" w:rsidRPr="007924B6">
        <w:rPr>
          <w:rStyle w:val="NormalCharacter"/>
          <w:b/>
        </w:rPr>
        <w:t>基因标签信息库。</w:t>
      </w:r>
      <w:r w:rsidR="00EC6D61" w:rsidRPr="007924B6">
        <w:rPr>
          <w:rStyle w:val="NormalCharacter"/>
        </w:rPr>
        <w:t>对重要寄生虫和媒介生物进行高通量测序，描绘物种基因组特征和多样性，分别构建</w:t>
      </w:r>
      <w:r w:rsidR="00EC6D61" w:rsidRPr="007924B6">
        <w:rPr>
          <w:rStyle w:val="NormalCharacter"/>
        </w:rPr>
        <w:t>DNA</w:t>
      </w:r>
      <w:r w:rsidR="00EC6D61" w:rsidRPr="007924B6">
        <w:rPr>
          <w:rStyle w:val="NormalCharacter"/>
        </w:rPr>
        <w:t>基因信息库、基因多态性信息库、专项研究信息库（如疟疾基因组数据库、医学贝类基因库等）等；</w:t>
      </w:r>
    </w:p>
    <w:p w:rsidR="00545190" w:rsidRDefault="00545190">
      <w:pPr>
        <w:snapToGrid w:val="0"/>
        <w:spacing w:before="120" w:after="61" w:line="312" w:lineRule="auto"/>
        <w:rPr>
          <w:rStyle w:val="NormalCharacter"/>
          <w:rFonts w:eastAsia="楷体_GB2312"/>
          <w:b/>
          <w:sz w:val="28"/>
        </w:rPr>
      </w:pPr>
    </w:p>
    <w:p w:rsidR="00545190" w:rsidRDefault="00E212AC">
      <w:pPr>
        <w:snapToGrid w:val="0"/>
        <w:spacing w:before="120" w:after="61" w:line="312" w:lineRule="auto"/>
        <w:rPr>
          <w:rStyle w:val="NormalCharacter"/>
          <w:rFonts w:eastAsia="楷体_GB2312"/>
          <w:b/>
          <w:sz w:val="28"/>
        </w:rPr>
      </w:pPr>
      <w:r w:rsidRPr="007924B6">
        <w:rPr>
          <w:rStyle w:val="NormalCharacter"/>
          <w:rFonts w:eastAsia="楷体_GB2312"/>
          <w:b/>
          <w:sz w:val="28"/>
        </w:rPr>
        <w:t>二、</w:t>
      </w:r>
      <w:r w:rsidR="00D500C3" w:rsidRPr="007924B6">
        <w:rPr>
          <w:rStyle w:val="NormalCharacter"/>
          <w:rFonts w:eastAsia="楷体_GB2312"/>
          <w:b/>
          <w:sz w:val="28"/>
        </w:rPr>
        <w:t>开放课题主要</w:t>
      </w:r>
      <w:r w:rsidRPr="007924B6">
        <w:rPr>
          <w:rStyle w:val="NormalCharacter"/>
          <w:rFonts w:eastAsia="楷体_GB2312"/>
          <w:b/>
          <w:sz w:val="28"/>
        </w:rPr>
        <w:t>资助范围</w:t>
      </w:r>
    </w:p>
    <w:p w:rsidR="00545190" w:rsidRDefault="008160E9">
      <w:pPr>
        <w:pStyle w:val="BodyText"/>
        <w:ind w:firstLine="402"/>
        <w:rPr>
          <w:rStyle w:val="NormalCharacter"/>
        </w:rPr>
      </w:pPr>
      <w:r w:rsidRPr="007924B6">
        <w:rPr>
          <w:rStyle w:val="NormalCharacter"/>
        </w:rPr>
        <w:t>资源库</w:t>
      </w:r>
      <w:r w:rsidR="00D90B88" w:rsidRPr="007924B6">
        <w:rPr>
          <w:rStyle w:val="NormalCharacter"/>
        </w:rPr>
        <w:t>的</w:t>
      </w:r>
      <w:r w:rsidRPr="007924B6">
        <w:rPr>
          <w:rStyle w:val="NormalCharacter"/>
        </w:rPr>
        <w:t>重点任务</w:t>
      </w:r>
      <w:r w:rsidR="00EC7622" w:rsidRPr="007924B6">
        <w:rPr>
          <w:rStyle w:val="NormalCharacter"/>
        </w:rPr>
        <w:t>之一</w:t>
      </w:r>
      <w:r w:rsidRPr="007924B6">
        <w:rPr>
          <w:rStyle w:val="NormalCharacter"/>
        </w:rPr>
        <w:t>是</w:t>
      </w:r>
      <w:r w:rsidRPr="007924B6">
        <w:rPr>
          <w:rStyle w:val="NormalCharacter"/>
          <w:b/>
        </w:rPr>
        <w:t>开展全球寄生虫资源种类与分布情况系统研究，并对照资源</w:t>
      </w:r>
      <w:proofErr w:type="gramStart"/>
      <w:r w:rsidRPr="007924B6">
        <w:rPr>
          <w:rStyle w:val="NormalCharacter"/>
          <w:b/>
        </w:rPr>
        <w:t>库现有</w:t>
      </w:r>
      <w:proofErr w:type="gramEnd"/>
      <w:r w:rsidRPr="007924B6">
        <w:rPr>
          <w:rStyle w:val="NormalCharacter"/>
          <w:b/>
        </w:rPr>
        <w:t>的保藏种类和数量进行差距分析，针对资源收集的差距和空白所在开展收集工作</w:t>
      </w:r>
      <w:r w:rsidRPr="007924B6">
        <w:rPr>
          <w:rStyle w:val="NormalCharacter"/>
        </w:rPr>
        <w:t>。</w:t>
      </w:r>
      <w:r w:rsidR="00EC7622" w:rsidRPr="007924B6">
        <w:rPr>
          <w:rStyle w:val="NormalCharacter"/>
        </w:rPr>
        <w:t>另一个重点任务是</w:t>
      </w:r>
      <w:r w:rsidR="00EC7622" w:rsidRPr="007924B6">
        <w:rPr>
          <w:rStyle w:val="NormalCharacter"/>
          <w:b/>
        </w:rPr>
        <w:t>提高自身为重大科技服务的能力，推动和促进资源、课题及人员的横向联合，保证科研项目的资源汇交</w:t>
      </w:r>
      <w:r w:rsidR="00EC7622" w:rsidRPr="007924B6">
        <w:rPr>
          <w:rStyle w:val="NormalCharacter"/>
        </w:rPr>
        <w:t>。</w:t>
      </w:r>
    </w:p>
    <w:p w:rsidR="00545190" w:rsidRDefault="00EC7622">
      <w:pPr>
        <w:pStyle w:val="BodyText"/>
        <w:ind w:firstLine="402"/>
        <w:rPr>
          <w:rStyle w:val="NormalCharacter"/>
        </w:rPr>
      </w:pPr>
      <w:r w:rsidRPr="007924B6">
        <w:rPr>
          <w:rStyle w:val="NormalCharacter"/>
        </w:rPr>
        <w:t>因此，</w:t>
      </w:r>
      <w:r w:rsidR="008160E9" w:rsidRPr="007924B6">
        <w:rPr>
          <w:rStyle w:val="NormalCharacter"/>
        </w:rPr>
        <w:t>资源库</w:t>
      </w:r>
      <w:r w:rsidRPr="007924B6">
        <w:rPr>
          <w:rStyle w:val="NormalCharacter"/>
        </w:rPr>
        <w:t>在</w:t>
      </w:r>
      <w:r w:rsidRPr="007924B6">
        <w:rPr>
          <w:rStyle w:val="NormalCharacter"/>
        </w:rPr>
        <w:t>2021</w:t>
      </w:r>
      <w:r w:rsidRPr="007924B6">
        <w:rPr>
          <w:rStyle w:val="NormalCharacter"/>
        </w:rPr>
        <w:t>年的开放课题将重点</w:t>
      </w:r>
      <w:r w:rsidR="00E212AC" w:rsidRPr="007924B6">
        <w:rPr>
          <w:rStyle w:val="NormalCharacter"/>
        </w:rPr>
        <w:t>资助</w:t>
      </w:r>
      <w:r w:rsidRPr="007924B6">
        <w:rPr>
          <w:rStyle w:val="NormalCharacter"/>
        </w:rPr>
        <w:t>那些</w:t>
      </w:r>
      <w:r w:rsidR="00E212AC" w:rsidRPr="007924B6">
        <w:rPr>
          <w:rStyle w:val="NormalCharacter"/>
        </w:rPr>
        <w:t>符合</w:t>
      </w:r>
      <w:r w:rsidR="008160E9" w:rsidRPr="007924B6">
        <w:rPr>
          <w:rStyle w:val="NormalCharacter"/>
        </w:rPr>
        <w:t>平台发展</w:t>
      </w:r>
      <w:r w:rsidR="00E212AC" w:rsidRPr="007924B6">
        <w:rPr>
          <w:rStyle w:val="NormalCharacter"/>
        </w:rPr>
        <w:t>方向，又具有创新意义的</w:t>
      </w:r>
      <w:r w:rsidRPr="007924B6">
        <w:rPr>
          <w:rStyle w:val="NormalCharacter"/>
          <w:b/>
        </w:rPr>
        <w:t>资源收集</w:t>
      </w:r>
      <w:r w:rsidR="00E212AC" w:rsidRPr="007924B6">
        <w:rPr>
          <w:rStyle w:val="NormalCharacter"/>
        </w:rPr>
        <w:t>及</w:t>
      </w:r>
      <w:r w:rsidRPr="007924B6">
        <w:rPr>
          <w:rStyle w:val="NormalCharacter"/>
          <w:b/>
        </w:rPr>
        <w:t>资源应用创新</w:t>
      </w:r>
      <w:r w:rsidRPr="007924B6">
        <w:rPr>
          <w:rStyle w:val="NormalCharacter"/>
        </w:rPr>
        <w:t>类</w:t>
      </w:r>
      <w:r w:rsidR="00E212AC" w:rsidRPr="007924B6">
        <w:rPr>
          <w:rStyle w:val="NormalCharacter"/>
        </w:rPr>
        <w:t>课题。主要资助如下研究方向：</w:t>
      </w:r>
    </w:p>
    <w:p w:rsidR="00545190" w:rsidRDefault="00E212AC" w:rsidP="005C0807">
      <w:pPr>
        <w:pStyle w:val="BodyText"/>
        <w:ind w:firstLine="402"/>
        <w:rPr>
          <w:rStyle w:val="NormalCharacter"/>
          <w:b/>
        </w:rPr>
      </w:pPr>
      <w:r w:rsidRPr="007924B6">
        <w:rPr>
          <w:rStyle w:val="NormalCharacter"/>
          <w:b/>
        </w:rPr>
        <w:lastRenderedPageBreak/>
        <w:t>1</w:t>
      </w:r>
      <w:r w:rsidRPr="007924B6">
        <w:rPr>
          <w:rStyle w:val="NormalCharacter"/>
          <w:b/>
        </w:rPr>
        <w:t>、</w:t>
      </w:r>
      <w:r w:rsidR="00721D14" w:rsidRPr="007924B6">
        <w:rPr>
          <w:rStyle w:val="NormalCharacter"/>
          <w:b/>
        </w:rPr>
        <w:t>资源收集与评价</w:t>
      </w:r>
    </w:p>
    <w:p w:rsidR="00545190" w:rsidRDefault="00721D14">
      <w:pPr>
        <w:snapToGrid w:val="0"/>
        <w:spacing w:line="312" w:lineRule="auto"/>
        <w:ind w:firstLineChars="200" w:firstLine="408"/>
        <w:rPr>
          <w:rStyle w:val="NormalCharacter"/>
        </w:rPr>
      </w:pPr>
      <w:r w:rsidRPr="007924B6">
        <w:rPr>
          <w:rStyle w:val="NormalCharacter"/>
        </w:rPr>
        <w:t>1.1</w:t>
      </w:r>
      <w:r w:rsidRPr="007924B6">
        <w:rPr>
          <w:rStyle w:val="NormalCharacter"/>
        </w:rPr>
        <w:t>、资源库目前尚未收集的资源</w:t>
      </w:r>
    </w:p>
    <w:p w:rsidR="00545190" w:rsidRDefault="00D22675">
      <w:pPr>
        <w:snapToGrid w:val="0"/>
        <w:spacing w:line="312" w:lineRule="auto"/>
        <w:ind w:firstLineChars="200" w:firstLine="408"/>
        <w:rPr>
          <w:rStyle w:val="NormalCharacter"/>
        </w:rPr>
      </w:pPr>
      <w:r w:rsidRPr="008D3719">
        <w:rPr>
          <w:rStyle w:val="NormalCharacter"/>
        </w:rPr>
        <w:t>资助重点</w:t>
      </w:r>
      <w:r w:rsidR="00E212AC" w:rsidRPr="008D3719">
        <w:rPr>
          <w:rStyle w:val="NormalCharacter"/>
        </w:rPr>
        <w:t>包括</w:t>
      </w:r>
      <w:r w:rsidRPr="008D3719">
        <w:rPr>
          <w:rStyle w:val="NormalCharacter"/>
        </w:rPr>
        <w:t>新发、罕见、或入侵我国的寄生虫及其媒介虫种</w:t>
      </w:r>
      <w:r w:rsidR="00E212AC" w:rsidRPr="008D3719">
        <w:rPr>
          <w:rStyle w:val="NormalCharacter"/>
        </w:rPr>
        <w:t>；</w:t>
      </w:r>
      <w:r w:rsidRPr="008D3719">
        <w:rPr>
          <w:rStyle w:val="NormalCharacter"/>
        </w:rPr>
        <w:t>对我国国民健康、经济生产等</w:t>
      </w:r>
      <w:r w:rsidR="004A1F81" w:rsidRPr="008D3719">
        <w:rPr>
          <w:rStyle w:val="NormalCharacter"/>
        </w:rPr>
        <w:t>领域</w:t>
      </w:r>
      <w:r w:rsidRPr="008D3719">
        <w:rPr>
          <w:rStyle w:val="NormalCharacter"/>
        </w:rPr>
        <w:t>造成重大影响</w:t>
      </w:r>
      <w:r w:rsidR="004A1F81" w:rsidRPr="008D3719">
        <w:rPr>
          <w:rStyle w:val="NormalCharacter"/>
        </w:rPr>
        <w:t>（危害或有益）</w:t>
      </w:r>
      <w:r w:rsidRPr="008D3719">
        <w:rPr>
          <w:rStyle w:val="NormalCharacter"/>
        </w:rPr>
        <w:t>物种的地域株；</w:t>
      </w:r>
      <w:r w:rsidR="004A1F81" w:rsidRPr="008D3719">
        <w:rPr>
          <w:rStyle w:val="NormalCharacter"/>
        </w:rPr>
        <w:t>主要产地与分布地区在中国以外，但属于人体、兽医、农林生产相关的寄生虫及其媒介虫种；无危害物无经济利益，但作为模式生物具备较高科研价值的寄生虫及其媒介虫种等。</w:t>
      </w:r>
    </w:p>
    <w:p w:rsidR="00545190" w:rsidRDefault="00721D14">
      <w:pPr>
        <w:snapToGrid w:val="0"/>
        <w:spacing w:line="312" w:lineRule="auto"/>
        <w:ind w:firstLineChars="200" w:firstLine="408"/>
        <w:rPr>
          <w:rStyle w:val="NormalCharacter"/>
        </w:rPr>
      </w:pPr>
      <w:r w:rsidRPr="008D3719">
        <w:rPr>
          <w:rStyle w:val="NormalCharacter"/>
        </w:rPr>
        <w:t>1.2</w:t>
      </w:r>
      <w:r w:rsidRPr="008D3719">
        <w:rPr>
          <w:rStyle w:val="NormalCharacter"/>
        </w:rPr>
        <w:t>、资源库已有的资源</w:t>
      </w:r>
    </w:p>
    <w:p w:rsidR="00545190" w:rsidRDefault="00721D14">
      <w:pPr>
        <w:snapToGrid w:val="0"/>
        <w:spacing w:line="312" w:lineRule="auto"/>
        <w:ind w:firstLineChars="200" w:firstLine="408"/>
        <w:rPr>
          <w:rStyle w:val="NormalCharacter"/>
        </w:rPr>
      </w:pPr>
      <w:r w:rsidRPr="008D3719">
        <w:rPr>
          <w:rStyle w:val="NormalCharacter"/>
        </w:rPr>
        <w:t>资助重点</w:t>
      </w:r>
      <w:r w:rsidR="0036359A" w:rsidRPr="008D3719">
        <w:rPr>
          <w:rStyle w:val="NormalCharacter"/>
        </w:rPr>
        <w:t>为</w:t>
      </w:r>
      <w:r w:rsidRPr="008D3719">
        <w:rPr>
          <w:rStyle w:val="NormalCharacter"/>
        </w:rPr>
        <w:t>收集整理寄生虫及其媒介的</w:t>
      </w:r>
      <w:r w:rsidRPr="008D3719">
        <w:rPr>
          <w:rStyle w:val="NormalCharacter"/>
          <w:bCs/>
        </w:rPr>
        <w:t>生物材料的项目，生物材料包括重要或</w:t>
      </w:r>
      <w:r w:rsidRPr="008D3719">
        <w:rPr>
          <w:rStyle w:val="NormalCharacter"/>
        </w:rPr>
        <w:t>具备较高科研价值寄生虫及媒介</w:t>
      </w:r>
      <w:r w:rsidRPr="008D3719">
        <w:rPr>
          <w:rStyle w:val="NormalCharacter"/>
          <w:bCs/>
        </w:rPr>
        <w:t>生物</w:t>
      </w:r>
      <w:r w:rsidRPr="008D3719">
        <w:rPr>
          <w:rStyle w:val="NormalCharacter"/>
        </w:rPr>
        <w:t>的</w:t>
      </w:r>
      <w:r w:rsidRPr="008D3719">
        <w:rPr>
          <w:rStyle w:val="NormalCharacter"/>
          <w:bCs/>
        </w:rPr>
        <w:t>突变体，遗传修饰株，或其它遗传物质（如重组质粒、突变基因）等；分子文库材料包括全基因组文库、</w:t>
      </w:r>
      <w:r w:rsidRPr="008D3719">
        <w:rPr>
          <w:rStyle w:val="NormalCharacter"/>
          <w:bCs/>
        </w:rPr>
        <w:t>cDNA</w:t>
      </w:r>
      <w:r w:rsidRPr="008D3719">
        <w:rPr>
          <w:rStyle w:val="NormalCharacter"/>
          <w:bCs/>
        </w:rPr>
        <w:t>文库等；其他生物材料包括单克隆或多克隆抗体、感染寄生虫的动物血清等常用生物材料。</w:t>
      </w:r>
      <w:r w:rsidRPr="008D3719">
        <w:rPr>
          <w:rStyle w:val="NormalCharacter"/>
        </w:rPr>
        <w:t>分子材料应完成测序或具备相应的基因标签信息。</w:t>
      </w:r>
    </w:p>
    <w:p w:rsidR="00545190" w:rsidRDefault="00545190">
      <w:pPr>
        <w:snapToGrid w:val="0"/>
        <w:spacing w:line="312" w:lineRule="auto"/>
        <w:ind w:firstLineChars="200" w:firstLine="408"/>
        <w:rPr>
          <w:rStyle w:val="NormalCharacter"/>
        </w:rPr>
      </w:pPr>
    </w:p>
    <w:p w:rsidR="00545190" w:rsidRDefault="00E212AC" w:rsidP="005C0807">
      <w:pPr>
        <w:pStyle w:val="BodyText"/>
        <w:ind w:firstLine="402"/>
        <w:rPr>
          <w:rStyle w:val="NormalCharacter"/>
        </w:rPr>
      </w:pPr>
      <w:r w:rsidRPr="008D3719">
        <w:rPr>
          <w:rStyle w:val="NormalCharacter"/>
        </w:rPr>
        <w:t>2</w:t>
      </w:r>
      <w:r w:rsidRPr="008D3719">
        <w:rPr>
          <w:rStyle w:val="NormalCharacter"/>
        </w:rPr>
        <w:t>、</w:t>
      </w:r>
      <w:r w:rsidR="00721D14" w:rsidRPr="008D3719">
        <w:rPr>
          <w:rStyle w:val="NormalCharacter"/>
        </w:rPr>
        <w:t>标准株的建立鉴定与保藏</w:t>
      </w:r>
    </w:p>
    <w:p w:rsidR="00545190" w:rsidRDefault="004A1F81">
      <w:pPr>
        <w:snapToGrid w:val="0"/>
        <w:spacing w:line="312" w:lineRule="auto"/>
        <w:ind w:firstLine="420"/>
        <w:rPr>
          <w:rStyle w:val="NormalCharacter"/>
        </w:rPr>
      </w:pPr>
      <w:r w:rsidRPr="008D3719">
        <w:rPr>
          <w:rStyle w:val="NormalCharacter"/>
        </w:rPr>
        <w:t>资助重点</w:t>
      </w:r>
      <w:r w:rsidR="0036359A" w:rsidRPr="008D3719">
        <w:rPr>
          <w:rStyle w:val="NormalCharacter"/>
        </w:rPr>
        <w:t>为</w:t>
      </w:r>
      <w:r w:rsidR="00D90B88" w:rsidRPr="008D3719">
        <w:rPr>
          <w:rStyle w:val="NormalCharacter"/>
        </w:rPr>
        <w:t>对我国国民健康、经济生产等领域造成重大影响的，或具备较高科研价值的寄生虫及其媒介虫种、有明确</w:t>
      </w:r>
      <w:r w:rsidR="00D90B88" w:rsidRPr="008D3719">
        <w:rPr>
          <w:rStyle w:val="NormalCharacter"/>
        </w:rPr>
        <w:t>DNA</w:t>
      </w:r>
      <w:r w:rsidR="00D90B88" w:rsidRPr="008D3719">
        <w:rPr>
          <w:rStyle w:val="NormalCharacter"/>
        </w:rPr>
        <w:t>信息或种系分析资料、且对品系特征有清晰描述</w:t>
      </w:r>
      <w:r w:rsidRPr="008D3719">
        <w:rPr>
          <w:rStyle w:val="NormalCharacter"/>
        </w:rPr>
        <w:t>的</w:t>
      </w:r>
      <w:r w:rsidR="00721D14" w:rsidRPr="008D3719">
        <w:rPr>
          <w:rStyle w:val="NormalCharacter"/>
        </w:rPr>
        <w:t>标准株</w:t>
      </w:r>
      <w:r w:rsidR="0036359A" w:rsidRPr="008D3719">
        <w:rPr>
          <w:rStyle w:val="NormalCharacter"/>
        </w:rPr>
        <w:t>建设项目</w:t>
      </w:r>
      <w:r w:rsidR="00D90B88" w:rsidRPr="008D3719">
        <w:rPr>
          <w:rStyle w:val="NormalCharacter"/>
        </w:rPr>
        <w:t>。</w:t>
      </w:r>
      <w:r w:rsidR="000E1511" w:rsidRPr="008D3719">
        <w:rPr>
          <w:rStyle w:val="NormalCharacter"/>
        </w:rPr>
        <w:t>投标项目涉及的物种应该具备易于区分的相对性状、且该性状能够稳定遗传给后代。无论是从自然界分离到的野生型或经人工选育得到的突变型纯种，应确保其不污染杂菌、不发生或少发生变异，传代中可保持</w:t>
      </w:r>
      <w:r w:rsidR="00721D14" w:rsidRPr="008D3719">
        <w:rPr>
          <w:rStyle w:val="NormalCharacter"/>
        </w:rPr>
        <w:t>该</w:t>
      </w:r>
      <w:r w:rsidR="000E1511" w:rsidRPr="008D3719">
        <w:rPr>
          <w:rStyle w:val="NormalCharacter"/>
        </w:rPr>
        <w:t>虫</w:t>
      </w:r>
      <w:r w:rsidR="00721D14" w:rsidRPr="008D3719">
        <w:rPr>
          <w:rStyle w:val="NormalCharacter"/>
        </w:rPr>
        <w:t>株</w:t>
      </w:r>
      <w:r w:rsidR="000E1511" w:rsidRPr="008D3719">
        <w:rPr>
          <w:rStyle w:val="NormalCharacter"/>
        </w:rPr>
        <w:t>的各种培养特征和生理活性。</w:t>
      </w:r>
    </w:p>
    <w:p w:rsidR="00545190" w:rsidRDefault="00545190">
      <w:pPr>
        <w:snapToGrid w:val="0"/>
        <w:spacing w:line="312" w:lineRule="auto"/>
        <w:ind w:firstLine="420"/>
        <w:rPr>
          <w:rStyle w:val="NormalCharacter"/>
        </w:rPr>
      </w:pPr>
    </w:p>
    <w:p w:rsidR="00545190" w:rsidRDefault="00E212AC" w:rsidP="005C0807">
      <w:pPr>
        <w:pStyle w:val="BodyText"/>
        <w:ind w:firstLine="402"/>
        <w:rPr>
          <w:rStyle w:val="NormalCharacter"/>
        </w:rPr>
      </w:pPr>
      <w:r w:rsidRPr="008D3719">
        <w:rPr>
          <w:rStyle w:val="NormalCharacter"/>
        </w:rPr>
        <w:t>3</w:t>
      </w:r>
      <w:r w:rsidRPr="008D3719">
        <w:rPr>
          <w:rStyle w:val="NormalCharacter"/>
        </w:rPr>
        <w:t>、</w:t>
      </w:r>
      <w:r w:rsidR="00721D14" w:rsidRPr="008D3719">
        <w:rPr>
          <w:rStyle w:val="NormalCharacter"/>
        </w:rPr>
        <w:t>重要性状发育</w:t>
      </w:r>
      <w:r w:rsidR="0001064B" w:rsidRPr="008D3719">
        <w:rPr>
          <w:rStyle w:val="NormalCharacter"/>
        </w:rPr>
        <w:t>或</w:t>
      </w:r>
      <w:r w:rsidR="00721D14" w:rsidRPr="008D3719">
        <w:rPr>
          <w:rStyle w:val="NormalCharacter"/>
        </w:rPr>
        <w:t>变异监测、寄生虫抗药与环境适应性进化</w:t>
      </w:r>
    </w:p>
    <w:p w:rsidR="00545190" w:rsidRDefault="00721D14" w:rsidP="00CA3137">
      <w:pPr>
        <w:snapToGrid w:val="0"/>
        <w:spacing w:line="312" w:lineRule="auto"/>
        <w:ind w:firstLineChars="200" w:firstLine="408"/>
        <w:rPr>
          <w:rStyle w:val="NormalCharacter"/>
        </w:rPr>
      </w:pPr>
      <w:r w:rsidRPr="008D3719">
        <w:rPr>
          <w:rStyle w:val="NormalCharacter"/>
        </w:rPr>
        <w:t>资助重点</w:t>
      </w:r>
      <w:r w:rsidR="0036359A" w:rsidRPr="008D3719">
        <w:rPr>
          <w:rStyle w:val="NormalCharacter"/>
        </w:rPr>
        <w:t>为</w:t>
      </w:r>
      <w:r w:rsidR="0001064B" w:rsidRPr="008D3719">
        <w:rPr>
          <w:rStyle w:val="NormalCharacter"/>
        </w:rPr>
        <w:t>属于人体、动物或植物寄生虫、因地域或环境差异导致携带重要</w:t>
      </w:r>
      <w:r w:rsidR="0036359A" w:rsidRPr="008D3719">
        <w:rPr>
          <w:rStyle w:val="NormalCharacter"/>
        </w:rPr>
        <w:t>特色</w:t>
      </w:r>
      <w:r w:rsidR="0001064B" w:rsidRPr="008D3719">
        <w:rPr>
          <w:rStyle w:val="NormalCharacter"/>
        </w:rPr>
        <w:t>性状</w:t>
      </w:r>
      <w:r w:rsidR="0036359A" w:rsidRPr="008D3719">
        <w:rPr>
          <w:rStyle w:val="NormalCharacter"/>
        </w:rPr>
        <w:t>（如尺寸、颜色、形状、行为等出现明显差异）的</w:t>
      </w:r>
      <w:r w:rsidR="0001064B" w:rsidRPr="008D3719">
        <w:rPr>
          <w:rStyle w:val="NormalCharacter"/>
        </w:rPr>
        <w:t>变异</w:t>
      </w:r>
      <w:r w:rsidR="0036359A" w:rsidRPr="008D3719">
        <w:rPr>
          <w:rStyle w:val="NormalCharacter"/>
        </w:rPr>
        <w:t>株收集整理项目；因主要产地与分布地区用药策略差异导致寄生虫产生重大抗药性突变的抗药株收集项目；因主要产地与分布地区环境差异导致寄生虫产生</w:t>
      </w:r>
      <w:proofErr w:type="gramStart"/>
      <w:r w:rsidR="0036359A" w:rsidRPr="008D3719">
        <w:rPr>
          <w:rStyle w:val="NormalCharacter"/>
        </w:rPr>
        <w:t>适</w:t>
      </w:r>
      <w:proofErr w:type="gramEnd"/>
      <w:r w:rsidR="0036359A" w:rsidRPr="008D3719">
        <w:rPr>
          <w:rStyle w:val="NormalCharacter"/>
        </w:rPr>
        <w:t>生性突变（如耐热耐寒、快速入侵宿主、高扩散性等）的变异株收集整理项目</w:t>
      </w:r>
      <w:r w:rsidR="0036359A" w:rsidRPr="008D3719">
        <w:rPr>
          <w:rStyle w:val="NormalCharacter"/>
          <w:bCs/>
        </w:rPr>
        <w:t>等。</w:t>
      </w:r>
    </w:p>
    <w:p w:rsidR="00545190" w:rsidRDefault="00545190" w:rsidP="00CA3137">
      <w:pPr>
        <w:snapToGrid w:val="0"/>
        <w:spacing w:line="312" w:lineRule="auto"/>
        <w:ind w:firstLineChars="200" w:firstLine="410"/>
        <w:rPr>
          <w:rStyle w:val="NormalCharacter"/>
          <w:b/>
          <w:bCs/>
        </w:rPr>
      </w:pPr>
    </w:p>
    <w:p w:rsidR="00545190" w:rsidRDefault="00E212AC">
      <w:pPr>
        <w:snapToGrid w:val="0"/>
        <w:spacing w:before="120" w:after="61" w:line="312" w:lineRule="auto"/>
        <w:rPr>
          <w:rStyle w:val="NormalCharacter"/>
          <w:rFonts w:eastAsia="楷体_GB2312"/>
          <w:b/>
          <w:sz w:val="28"/>
        </w:rPr>
      </w:pPr>
      <w:r w:rsidRPr="007924B6">
        <w:rPr>
          <w:rStyle w:val="NormalCharacter"/>
          <w:rFonts w:eastAsia="楷体_GB2312"/>
          <w:b/>
          <w:sz w:val="28"/>
        </w:rPr>
        <w:t>三、资助类别</w:t>
      </w:r>
    </w:p>
    <w:p w:rsidR="00545190" w:rsidRDefault="00E212AC">
      <w:pPr>
        <w:snapToGrid w:val="0"/>
        <w:spacing w:before="120" w:after="61" w:line="312" w:lineRule="auto"/>
        <w:rPr>
          <w:rStyle w:val="NormalCharacter"/>
          <w:rFonts w:ascii="宋体" w:hAnsi="宋体"/>
          <w:szCs w:val="21"/>
        </w:rPr>
      </w:pPr>
      <w:r w:rsidRPr="007924B6">
        <w:rPr>
          <w:rStyle w:val="NormalCharacter"/>
          <w:rFonts w:eastAsia="楷体_GB2312"/>
          <w:b/>
          <w:sz w:val="28"/>
        </w:rPr>
        <w:t xml:space="preserve">   </w:t>
      </w:r>
      <w:r w:rsidRPr="007924B6">
        <w:rPr>
          <w:rStyle w:val="NormalCharacter"/>
          <w:rFonts w:ascii="宋体" w:hAnsi="宋体"/>
          <w:szCs w:val="21"/>
        </w:rPr>
        <w:t>为了更加有效地管理课题，充分发挥</w:t>
      </w:r>
      <w:r w:rsidR="00EC7622" w:rsidRPr="007924B6">
        <w:rPr>
          <w:rStyle w:val="NormalCharacter"/>
          <w:rFonts w:ascii="宋体" w:hAnsi="宋体"/>
          <w:szCs w:val="21"/>
        </w:rPr>
        <w:t>资源</w:t>
      </w:r>
      <w:proofErr w:type="gramStart"/>
      <w:r w:rsidR="00EC7622" w:rsidRPr="007924B6">
        <w:rPr>
          <w:rStyle w:val="NormalCharacter"/>
          <w:rFonts w:ascii="宋体" w:hAnsi="宋体"/>
          <w:szCs w:val="21"/>
        </w:rPr>
        <w:t>库</w:t>
      </w:r>
      <w:r w:rsidRPr="007924B6">
        <w:rPr>
          <w:rStyle w:val="NormalCharacter"/>
          <w:rFonts w:ascii="宋体" w:hAnsi="宋体"/>
          <w:szCs w:val="21"/>
        </w:rPr>
        <w:t>开放</w:t>
      </w:r>
      <w:proofErr w:type="gramEnd"/>
      <w:r w:rsidRPr="007924B6">
        <w:rPr>
          <w:rStyle w:val="NormalCharacter"/>
          <w:rFonts w:ascii="宋体" w:hAnsi="宋体"/>
          <w:szCs w:val="21"/>
        </w:rPr>
        <w:t>课题在</w:t>
      </w:r>
      <w:r w:rsidR="00702E74" w:rsidRPr="007924B6">
        <w:rPr>
          <w:rStyle w:val="NormalCharacter"/>
          <w:rFonts w:ascii="宋体" w:hAnsi="宋体"/>
          <w:b/>
          <w:szCs w:val="21"/>
        </w:rPr>
        <w:t>科技资源汇交</w:t>
      </w:r>
      <w:r w:rsidRPr="007924B6">
        <w:rPr>
          <w:rStyle w:val="NormalCharacter"/>
          <w:rFonts w:ascii="宋体" w:hAnsi="宋体"/>
          <w:szCs w:val="21"/>
        </w:rPr>
        <w:t>和</w:t>
      </w:r>
      <w:r w:rsidR="00702E74" w:rsidRPr="007924B6">
        <w:rPr>
          <w:rStyle w:val="NormalCharacter"/>
          <w:rFonts w:ascii="宋体" w:hAnsi="宋体"/>
          <w:b/>
          <w:szCs w:val="21"/>
        </w:rPr>
        <w:t>新资源探查</w:t>
      </w:r>
      <w:r w:rsidR="00702E74" w:rsidRPr="007924B6">
        <w:rPr>
          <w:rStyle w:val="NormalCharacter"/>
          <w:rFonts w:ascii="宋体" w:hAnsi="宋体"/>
          <w:szCs w:val="21"/>
        </w:rPr>
        <w:t>等</w:t>
      </w:r>
      <w:r w:rsidRPr="007924B6">
        <w:rPr>
          <w:rStyle w:val="NormalCharacter"/>
          <w:rFonts w:ascii="宋体" w:hAnsi="宋体"/>
          <w:szCs w:val="21"/>
        </w:rPr>
        <w:t>方面的作用，课题资助方式</w:t>
      </w:r>
      <w:r w:rsidR="00702E74" w:rsidRPr="007924B6">
        <w:rPr>
          <w:rStyle w:val="NormalCharacter"/>
          <w:rFonts w:ascii="宋体" w:hAnsi="宋体"/>
          <w:szCs w:val="21"/>
        </w:rPr>
        <w:t>拟定为</w:t>
      </w:r>
      <w:r w:rsidRPr="007924B6">
        <w:rPr>
          <w:rStyle w:val="NormalCharacter"/>
          <w:rFonts w:ascii="宋体" w:hAnsi="宋体"/>
          <w:szCs w:val="21"/>
        </w:rPr>
        <w:t>如下两种类型：</w:t>
      </w:r>
    </w:p>
    <w:p w:rsidR="00545190" w:rsidRDefault="00702E74" w:rsidP="00702E74">
      <w:pPr>
        <w:numPr>
          <w:ilvl w:val="0"/>
          <w:numId w:val="2"/>
        </w:numPr>
        <w:snapToGrid w:val="0"/>
        <w:spacing w:before="120" w:after="61" w:line="312" w:lineRule="auto"/>
        <w:rPr>
          <w:rStyle w:val="NormalCharacter"/>
          <w:rFonts w:ascii="宋体" w:hAnsi="宋体"/>
          <w:b/>
          <w:bCs/>
          <w:szCs w:val="21"/>
        </w:rPr>
      </w:pPr>
      <w:r w:rsidRPr="007924B6">
        <w:rPr>
          <w:rStyle w:val="NormalCharacter"/>
          <w:rFonts w:ascii="宋体" w:hAnsi="宋体"/>
          <w:b/>
          <w:szCs w:val="21"/>
        </w:rPr>
        <w:t>科技资源</w:t>
      </w:r>
      <w:proofErr w:type="gramStart"/>
      <w:r w:rsidRPr="007924B6">
        <w:rPr>
          <w:rStyle w:val="NormalCharacter"/>
          <w:rFonts w:ascii="宋体" w:hAnsi="宋体"/>
          <w:b/>
          <w:szCs w:val="21"/>
        </w:rPr>
        <w:t>汇交</w:t>
      </w:r>
      <w:r w:rsidR="005C0807" w:rsidRPr="007924B6">
        <w:rPr>
          <w:rStyle w:val="NormalCharacter"/>
          <w:rFonts w:ascii="宋体" w:hAnsi="宋体"/>
          <w:b/>
          <w:szCs w:val="21"/>
        </w:rPr>
        <w:t>类</w:t>
      </w:r>
      <w:r w:rsidR="00E212AC" w:rsidRPr="007924B6">
        <w:rPr>
          <w:rStyle w:val="NormalCharacter"/>
          <w:rFonts w:ascii="宋体" w:hAnsi="宋体"/>
          <w:b/>
          <w:bCs/>
          <w:szCs w:val="21"/>
        </w:rPr>
        <w:t>项目</w:t>
      </w:r>
      <w:proofErr w:type="gramEnd"/>
    </w:p>
    <w:p w:rsidR="00545190" w:rsidRDefault="00014628" w:rsidP="00702E74">
      <w:pPr>
        <w:snapToGrid w:val="0"/>
        <w:spacing w:before="120" w:after="61" w:line="312" w:lineRule="auto"/>
        <w:ind w:firstLineChars="200" w:firstLine="408"/>
        <w:rPr>
          <w:rStyle w:val="NormalCharacter"/>
          <w:rFonts w:ascii="宋体" w:hAnsi="宋体"/>
          <w:szCs w:val="21"/>
        </w:rPr>
      </w:pPr>
      <w:r w:rsidRPr="007924B6">
        <w:rPr>
          <w:rStyle w:val="NormalCharacter"/>
          <w:rFonts w:ascii="宋体" w:hAnsi="宋体"/>
          <w:szCs w:val="21"/>
        </w:rPr>
        <w:t>申报者需持有</w:t>
      </w:r>
      <w:r w:rsidRPr="007924B6">
        <w:rPr>
          <w:rStyle w:val="NormalCharacter"/>
        </w:rPr>
        <w:t>市厅级及以上等级的</w:t>
      </w:r>
      <w:r w:rsidRPr="007924B6">
        <w:rPr>
          <w:rStyle w:val="NormalCharacter"/>
          <w:b/>
        </w:rPr>
        <w:t>自然科学类纵向科研项目</w:t>
      </w:r>
      <w:r w:rsidRPr="007924B6">
        <w:rPr>
          <w:rStyle w:val="NormalCharacter"/>
        </w:rPr>
        <w:t>，如科技部、国家自然科学基金委员会等下达、列入科技计划体系的各类科研项目。</w:t>
      </w:r>
      <w:r w:rsidR="00CE7C0E" w:rsidRPr="007924B6">
        <w:rPr>
          <w:rStyle w:val="NormalCharacter"/>
          <w:rFonts w:ascii="宋体" w:hAnsi="宋体"/>
          <w:szCs w:val="21"/>
        </w:rPr>
        <w:t>申请者根据在</w:t>
      </w:r>
      <w:proofErr w:type="gramStart"/>
      <w:r w:rsidR="00CE7C0E" w:rsidRPr="007924B6">
        <w:rPr>
          <w:rStyle w:val="NormalCharacter"/>
          <w:rFonts w:ascii="宋体" w:hAnsi="宋体"/>
          <w:szCs w:val="21"/>
        </w:rPr>
        <w:t>研</w:t>
      </w:r>
      <w:proofErr w:type="gramEnd"/>
      <w:r w:rsidR="00CE7C0E" w:rsidRPr="007924B6">
        <w:rPr>
          <w:rStyle w:val="NormalCharacter"/>
          <w:rFonts w:ascii="宋体" w:hAnsi="宋体"/>
          <w:szCs w:val="21"/>
        </w:rPr>
        <w:t>课题的设置，申请资源</w:t>
      </w:r>
      <w:proofErr w:type="gramStart"/>
      <w:r w:rsidR="00CE7C0E" w:rsidRPr="007924B6">
        <w:rPr>
          <w:rStyle w:val="NormalCharacter"/>
          <w:rFonts w:ascii="宋体" w:hAnsi="宋体"/>
          <w:szCs w:val="21"/>
        </w:rPr>
        <w:t>汇交类项目</w:t>
      </w:r>
      <w:proofErr w:type="gramEnd"/>
      <w:r w:rsidR="00CE7C0E" w:rsidRPr="007924B6">
        <w:rPr>
          <w:rStyle w:val="NormalCharacter"/>
          <w:rFonts w:ascii="宋体" w:hAnsi="宋体"/>
          <w:szCs w:val="21"/>
        </w:rPr>
        <w:t>，提交在</w:t>
      </w:r>
      <w:proofErr w:type="gramStart"/>
      <w:r w:rsidR="00CE7C0E" w:rsidRPr="007924B6">
        <w:rPr>
          <w:rStyle w:val="NormalCharacter"/>
          <w:rFonts w:ascii="宋体" w:hAnsi="宋体"/>
          <w:szCs w:val="21"/>
        </w:rPr>
        <w:t>研</w:t>
      </w:r>
      <w:proofErr w:type="gramEnd"/>
      <w:r w:rsidR="00CE7C0E" w:rsidRPr="007924B6">
        <w:rPr>
          <w:rStyle w:val="NormalCharacter"/>
          <w:rFonts w:ascii="宋体" w:hAnsi="宋体"/>
          <w:szCs w:val="21"/>
        </w:rPr>
        <w:t>课题的资源列表。专家组审议该课题涉及的生物资源</w:t>
      </w:r>
      <w:proofErr w:type="gramStart"/>
      <w:r w:rsidR="00CE7C0E" w:rsidRPr="007924B6">
        <w:rPr>
          <w:rStyle w:val="NormalCharacter"/>
          <w:rFonts w:ascii="宋体" w:hAnsi="宋体"/>
          <w:szCs w:val="21"/>
        </w:rPr>
        <w:t>跟资源库开放</w:t>
      </w:r>
      <w:proofErr w:type="gramEnd"/>
      <w:r w:rsidR="00CE7C0E" w:rsidRPr="007924B6">
        <w:rPr>
          <w:rStyle w:val="NormalCharacter"/>
          <w:rFonts w:ascii="宋体" w:hAnsi="宋体"/>
          <w:szCs w:val="21"/>
        </w:rPr>
        <w:t>课题的规划是否吻合，并决定是否给予</w:t>
      </w:r>
      <w:r w:rsidR="00E212AC" w:rsidRPr="007924B6">
        <w:rPr>
          <w:rStyle w:val="NormalCharacter"/>
          <w:rFonts w:ascii="宋体" w:hAnsi="宋体"/>
          <w:szCs w:val="21"/>
        </w:rPr>
        <w:t>资助。</w:t>
      </w:r>
      <w:r w:rsidR="005C0807" w:rsidRPr="007924B6">
        <w:rPr>
          <w:rStyle w:val="NormalCharacter"/>
          <w:rFonts w:ascii="宋体" w:hAnsi="宋体"/>
          <w:b/>
          <w:szCs w:val="21"/>
        </w:rPr>
        <w:t>获取资助后，中标者结合在</w:t>
      </w:r>
      <w:proofErr w:type="gramStart"/>
      <w:r w:rsidR="005C0807" w:rsidRPr="007924B6">
        <w:rPr>
          <w:rStyle w:val="NormalCharacter"/>
          <w:rFonts w:ascii="宋体" w:hAnsi="宋体"/>
          <w:b/>
          <w:szCs w:val="21"/>
        </w:rPr>
        <w:t>研</w:t>
      </w:r>
      <w:proofErr w:type="gramEnd"/>
      <w:r w:rsidR="005C0807" w:rsidRPr="007924B6">
        <w:rPr>
          <w:rStyle w:val="NormalCharacter"/>
          <w:rFonts w:ascii="宋体" w:hAnsi="宋体"/>
          <w:b/>
          <w:szCs w:val="21"/>
        </w:rPr>
        <w:t>课题的工作进展，向资源库提交</w:t>
      </w:r>
      <w:r w:rsidR="005C0807" w:rsidRPr="007924B6">
        <w:rPr>
          <w:rStyle w:val="NormalCharacter"/>
          <w:b/>
        </w:rPr>
        <w:t>生物资源、与资源对应的数据库。</w:t>
      </w:r>
    </w:p>
    <w:p w:rsidR="00545190" w:rsidRDefault="00702E74" w:rsidP="00702E74">
      <w:pPr>
        <w:numPr>
          <w:ilvl w:val="0"/>
          <w:numId w:val="2"/>
        </w:numPr>
        <w:snapToGrid w:val="0"/>
        <w:spacing w:before="120" w:after="61" w:line="305" w:lineRule="auto"/>
        <w:rPr>
          <w:rStyle w:val="NormalCharacter"/>
          <w:rFonts w:ascii="宋体" w:hAnsi="宋体"/>
          <w:szCs w:val="21"/>
        </w:rPr>
      </w:pPr>
      <w:r w:rsidRPr="007924B6">
        <w:rPr>
          <w:rStyle w:val="NormalCharacter"/>
          <w:rFonts w:ascii="宋体" w:hAnsi="宋体"/>
          <w:b/>
          <w:szCs w:val="21"/>
        </w:rPr>
        <w:t>资源探查</w:t>
      </w:r>
      <w:r w:rsidR="005C0807" w:rsidRPr="007924B6">
        <w:rPr>
          <w:rStyle w:val="NormalCharacter"/>
          <w:rFonts w:ascii="宋体" w:hAnsi="宋体"/>
          <w:b/>
          <w:szCs w:val="21"/>
        </w:rPr>
        <w:t>类</w:t>
      </w:r>
      <w:r w:rsidR="00E212AC" w:rsidRPr="007924B6">
        <w:rPr>
          <w:rStyle w:val="NormalCharacter"/>
          <w:rFonts w:ascii="宋体" w:hAnsi="宋体"/>
          <w:b/>
          <w:szCs w:val="21"/>
        </w:rPr>
        <w:t>项目</w:t>
      </w:r>
    </w:p>
    <w:p w:rsidR="00545190" w:rsidRDefault="0070732A" w:rsidP="00702E74">
      <w:pPr>
        <w:snapToGrid w:val="0"/>
        <w:spacing w:before="120" w:after="61" w:line="305" w:lineRule="auto"/>
        <w:ind w:firstLineChars="200" w:firstLine="408"/>
        <w:rPr>
          <w:rStyle w:val="NormalCharacter"/>
          <w:rFonts w:ascii="宋体" w:hAnsi="宋体"/>
          <w:szCs w:val="21"/>
        </w:rPr>
      </w:pPr>
      <w:r w:rsidRPr="007924B6">
        <w:rPr>
          <w:rStyle w:val="NormalCharacter"/>
          <w:rFonts w:ascii="宋体" w:hAnsi="宋体"/>
          <w:szCs w:val="21"/>
        </w:rPr>
        <w:t>专家组</w:t>
      </w:r>
      <w:r w:rsidR="00E212AC" w:rsidRPr="007924B6">
        <w:rPr>
          <w:rStyle w:val="NormalCharacter"/>
          <w:rFonts w:ascii="宋体" w:hAnsi="宋体"/>
          <w:szCs w:val="21"/>
        </w:rPr>
        <w:t>根据</w:t>
      </w:r>
      <w:r w:rsidR="00E2528C" w:rsidRPr="007924B6">
        <w:rPr>
          <w:rStyle w:val="NormalCharacter"/>
          <w:rFonts w:ascii="宋体" w:hAnsi="宋体"/>
          <w:szCs w:val="21"/>
        </w:rPr>
        <w:t>资源</w:t>
      </w:r>
      <w:proofErr w:type="gramStart"/>
      <w:r w:rsidR="00E2528C" w:rsidRPr="007924B6">
        <w:rPr>
          <w:rStyle w:val="NormalCharacter"/>
          <w:rFonts w:ascii="宋体" w:hAnsi="宋体"/>
          <w:szCs w:val="21"/>
        </w:rPr>
        <w:t>库</w:t>
      </w:r>
      <w:r w:rsidRPr="007924B6">
        <w:rPr>
          <w:rStyle w:val="NormalCharacter"/>
          <w:rFonts w:ascii="宋体" w:hAnsi="宋体"/>
          <w:szCs w:val="21"/>
        </w:rPr>
        <w:t>发展</w:t>
      </w:r>
      <w:proofErr w:type="gramEnd"/>
      <w:r w:rsidRPr="007924B6">
        <w:rPr>
          <w:rStyle w:val="NormalCharacter"/>
          <w:rFonts w:ascii="宋体" w:hAnsi="宋体"/>
          <w:szCs w:val="21"/>
        </w:rPr>
        <w:t>规划</w:t>
      </w:r>
      <w:r w:rsidR="00E212AC" w:rsidRPr="007924B6">
        <w:rPr>
          <w:rStyle w:val="NormalCharacter"/>
          <w:rFonts w:ascii="宋体" w:hAnsi="宋体"/>
          <w:szCs w:val="21"/>
        </w:rPr>
        <w:t>和国际热点研究问题</w:t>
      </w:r>
      <w:r w:rsidRPr="007924B6">
        <w:rPr>
          <w:rStyle w:val="NormalCharacter"/>
          <w:rFonts w:ascii="宋体" w:hAnsi="宋体"/>
          <w:szCs w:val="21"/>
        </w:rPr>
        <w:t>，以提高资源库的代表性和完整性为目的，提出资源收集方向；或针对一些濒临消亡的虫种、媒介资源提出保藏需求。</w:t>
      </w:r>
      <w:r w:rsidR="00E212AC" w:rsidRPr="007924B6">
        <w:rPr>
          <w:rStyle w:val="NormalCharacter"/>
          <w:rFonts w:ascii="宋体" w:hAnsi="宋体"/>
          <w:szCs w:val="21"/>
        </w:rPr>
        <w:t>申请者根据</w:t>
      </w:r>
      <w:r w:rsidRPr="007924B6">
        <w:rPr>
          <w:rStyle w:val="NormalCharacter"/>
          <w:rFonts w:ascii="宋体" w:hAnsi="宋体"/>
          <w:szCs w:val="21"/>
        </w:rPr>
        <w:t>专家列出的方</w:t>
      </w:r>
      <w:r w:rsidRPr="007924B6">
        <w:rPr>
          <w:rStyle w:val="NormalCharacter"/>
          <w:rFonts w:ascii="宋体" w:hAnsi="宋体"/>
          <w:szCs w:val="21"/>
        </w:rPr>
        <w:lastRenderedPageBreak/>
        <w:t>向，结合</w:t>
      </w:r>
      <w:r w:rsidR="00E212AC" w:rsidRPr="007924B6">
        <w:rPr>
          <w:rStyle w:val="NormalCharacter"/>
          <w:rFonts w:ascii="宋体" w:hAnsi="宋体"/>
          <w:szCs w:val="21"/>
        </w:rPr>
        <w:t>自己</w:t>
      </w:r>
      <w:r w:rsidRPr="007924B6">
        <w:rPr>
          <w:rStyle w:val="NormalCharacter"/>
          <w:rFonts w:ascii="宋体" w:hAnsi="宋体"/>
          <w:szCs w:val="21"/>
        </w:rPr>
        <w:t>团队的</w:t>
      </w:r>
      <w:r w:rsidR="00E212AC" w:rsidRPr="007924B6">
        <w:rPr>
          <w:rStyle w:val="NormalCharacter"/>
          <w:rFonts w:ascii="宋体" w:hAnsi="宋体"/>
          <w:szCs w:val="21"/>
        </w:rPr>
        <w:t>专业特点自由申请</w:t>
      </w:r>
      <w:r w:rsidR="00CE7C0E" w:rsidRPr="008D3719">
        <w:rPr>
          <w:rStyle w:val="NormalCharacter"/>
          <w:rFonts w:ascii="宋体" w:hAnsi="宋体"/>
          <w:szCs w:val="21"/>
        </w:rPr>
        <w:t>。</w:t>
      </w:r>
      <w:r w:rsidR="005C0807" w:rsidRPr="008D3719">
        <w:rPr>
          <w:rStyle w:val="NormalCharacter"/>
          <w:rFonts w:ascii="宋体" w:hAnsi="宋体"/>
          <w:szCs w:val="21"/>
        </w:rPr>
        <w:t>获取资助后，中标者</w:t>
      </w:r>
      <w:r w:rsidR="006E74A6" w:rsidRPr="008D3719">
        <w:rPr>
          <w:rStyle w:val="NormalCharacter"/>
          <w:rFonts w:ascii="宋体" w:hAnsi="宋体"/>
          <w:szCs w:val="21"/>
        </w:rPr>
        <w:t>按照申请时约定的规划方向进行虫种收集整理</w:t>
      </w:r>
      <w:r w:rsidR="005C0807" w:rsidRPr="008D3719">
        <w:rPr>
          <w:rStyle w:val="NormalCharacter"/>
          <w:rFonts w:ascii="宋体" w:hAnsi="宋体"/>
          <w:szCs w:val="21"/>
        </w:rPr>
        <w:t>工作，</w:t>
      </w:r>
      <w:r w:rsidR="006E74A6" w:rsidRPr="008D3719">
        <w:rPr>
          <w:rStyle w:val="NormalCharacter"/>
          <w:rFonts w:ascii="宋体" w:hAnsi="宋体"/>
          <w:szCs w:val="21"/>
        </w:rPr>
        <w:t>并在约定时间内</w:t>
      </w:r>
      <w:r w:rsidR="005C0807" w:rsidRPr="008D3719">
        <w:rPr>
          <w:rStyle w:val="NormalCharacter"/>
          <w:rFonts w:ascii="宋体" w:hAnsi="宋体"/>
          <w:szCs w:val="21"/>
        </w:rPr>
        <w:t>向资源库提交</w:t>
      </w:r>
      <w:r w:rsidR="005C0807" w:rsidRPr="008D3719">
        <w:rPr>
          <w:rStyle w:val="NormalCharacter"/>
        </w:rPr>
        <w:t>生物资源、与资源对应的数据库</w:t>
      </w:r>
      <w:r w:rsidR="006E74A6" w:rsidRPr="008D3719">
        <w:rPr>
          <w:rStyle w:val="NormalCharacter"/>
        </w:rPr>
        <w:t>、资源分布探查报告或综述。</w:t>
      </w:r>
    </w:p>
    <w:p w:rsidR="00545190" w:rsidRDefault="00545190">
      <w:pPr>
        <w:snapToGrid w:val="0"/>
        <w:spacing w:before="120" w:after="61" w:line="305" w:lineRule="auto"/>
        <w:ind w:firstLineChars="200" w:firstLine="408"/>
        <w:rPr>
          <w:rStyle w:val="NormalCharacter"/>
          <w:rFonts w:ascii="宋体" w:hAnsi="宋体"/>
          <w:szCs w:val="21"/>
        </w:rPr>
      </w:pPr>
    </w:p>
    <w:p w:rsidR="00545190" w:rsidRDefault="00E212AC">
      <w:pPr>
        <w:snapToGrid w:val="0"/>
        <w:spacing w:before="120" w:after="61" w:line="305" w:lineRule="auto"/>
        <w:rPr>
          <w:rStyle w:val="NormalCharacter"/>
          <w:rFonts w:eastAsia="楷体_GB2312"/>
          <w:b/>
          <w:sz w:val="28"/>
        </w:rPr>
      </w:pPr>
      <w:r w:rsidRPr="007924B6">
        <w:rPr>
          <w:rStyle w:val="NormalCharacter"/>
          <w:rFonts w:eastAsia="楷体_GB2312"/>
          <w:b/>
          <w:sz w:val="28"/>
        </w:rPr>
        <w:t>四、</w:t>
      </w:r>
      <w:r w:rsidR="0070732A" w:rsidRPr="007924B6">
        <w:rPr>
          <w:rStyle w:val="NormalCharacter"/>
          <w:rFonts w:eastAsia="楷体_GB2312"/>
          <w:b/>
          <w:sz w:val="28"/>
        </w:rPr>
        <w:t>2021</w:t>
      </w:r>
      <w:r w:rsidRPr="007924B6">
        <w:rPr>
          <w:rStyle w:val="NormalCharacter"/>
          <w:rFonts w:eastAsia="楷体_GB2312"/>
          <w:b/>
          <w:sz w:val="28"/>
        </w:rPr>
        <w:t>年度重点资助领域</w:t>
      </w:r>
    </w:p>
    <w:p w:rsidR="00545190" w:rsidRDefault="00E212AC" w:rsidP="005E45EE">
      <w:pPr>
        <w:snapToGrid w:val="0"/>
        <w:spacing w:before="120" w:after="61" w:line="305" w:lineRule="auto"/>
        <w:ind w:firstLine="420"/>
        <w:rPr>
          <w:rStyle w:val="NormalCharacter"/>
          <w:rFonts w:ascii="宋体" w:hAnsi="宋体"/>
          <w:szCs w:val="21"/>
        </w:rPr>
      </w:pPr>
      <w:r w:rsidRPr="007924B6">
        <w:rPr>
          <w:rStyle w:val="NormalCharacter"/>
          <w:rFonts w:ascii="宋体" w:hAnsi="宋体"/>
          <w:b/>
          <w:szCs w:val="21"/>
        </w:rPr>
        <w:t>1、</w:t>
      </w:r>
      <w:r w:rsidR="00262255" w:rsidRPr="007924B6">
        <w:rPr>
          <w:rStyle w:val="NormalCharacter"/>
          <w:rFonts w:ascii="宋体" w:hAnsi="宋体"/>
          <w:szCs w:val="21"/>
        </w:rPr>
        <w:t>新物种</w:t>
      </w:r>
      <w:r w:rsidR="005E45EE" w:rsidRPr="007924B6">
        <w:rPr>
          <w:rStyle w:val="NormalCharacter"/>
          <w:rFonts w:ascii="宋体" w:hAnsi="宋体"/>
          <w:szCs w:val="21"/>
        </w:rPr>
        <w:t>或生物材料</w:t>
      </w:r>
      <w:r w:rsidR="00262255" w:rsidRPr="007924B6">
        <w:rPr>
          <w:rStyle w:val="NormalCharacter"/>
          <w:rFonts w:ascii="宋体" w:hAnsi="宋体"/>
          <w:szCs w:val="21"/>
        </w:rPr>
        <w:t>收集类：</w:t>
      </w:r>
      <w:r w:rsidR="00262255" w:rsidRPr="007924B6">
        <w:rPr>
          <w:rStyle w:val="NormalCharacter"/>
          <w:rFonts w:ascii="宋体" w:hAnsi="宋体"/>
          <w:b/>
          <w:szCs w:val="21"/>
        </w:rPr>
        <w:t>媒介携带新病原体的发现、媒介与媒介传播疫病的探查</w:t>
      </w:r>
      <w:r w:rsidR="008D40DF" w:rsidRPr="007924B6">
        <w:rPr>
          <w:rStyle w:val="NormalCharacter"/>
          <w:rFonts w:ascii="宋体" w:hAnsi="宋体"/>
          <w:b/>
          <w:szCs w:val="21"/>
        </w:rPr>
        <w:t>、</w:t>
      </w:r>
      <w:r w:rsidR="00586474" w:rsidRPr="007924B6">
        <w:rPr>
          <w:rStyle w:val="NormalCharacter"/>
          <w:rFonts w:ascii="宋体" w:hAnsi="宋体"/>
          <w:b/>
          <w:szCs w:val="21"/>
        </w:rPr>
        <w:t>血吸虫、</w:t>
      </w:r>
      <w:r w:rsidR="008D40DF" w:rsidRPr="007924B6">
        <w:rPr>
          <w:rStyle w:val="NormalCharacter"/>
          <w:rFonts w:ascii="宋体" w:hAnsi="宋体"/>
          <w:b/>
          <w:szCs w:val="21"/>
        </w:rPr>
        <w:t>疟</w:t>
      </w:r>
      <w:r w:rsidR="00586474" w:rsidRPr="007924B6">
        <w:rPr>
          <w:rStyle w:val="NormalCharacter"/>
          <w:rFonts w:ascii="宋体" w:hAnsi="宋体"/>
          <w:b/>
          <w:szCs w:val="21"/>
        </w:rPr>
        <w:t>疾等重要寄生虫的</w:t>
      </w:r>
      <w:r w:rsidR="008D40DF" w:rsidRPr="007924B6">
        <w:rPr>
          <w:rStyle w:val="NormalCharacter"/>
          <w:rFonts w:ascii="宋体" w:hAnsi="宋体"/>
          <w:b/>
          <w:szCs w:val="21"/>
        </w:rPr>
        <w:t>地域株的收集整理</w:t>
      </w:r>
      <w:r w:rsidR="004A77A3" w:rsidRPr="007924B6">
        <w:rPr>
          <w:rStyle w:val="NormalCharacter"/>
          <w:rFonts w:ascii="宋体" w:hAnsi="宋体"/>
          <w:b/>
          <w:szCs w:val="21"/>
        </w:rPr>
        <w:t>、</w:t>
      </w:r>
      <w:r w:rsidR="008D40DF" w:rsidRPr="007924B6">
        <w:rPr>
          <w:rStyle w:val="NormalCharacter"/>
          <w:rFonts w:ascii="宋体" w:hAnsi="宋体"/>
          <w:b/>
          <w:szCs w:val="21"/>
        </w:rPr>
        <w:t>罕见植物寄生线虫的收集整理</w:t>
      </w:r>
      <w:r w:rsidR="004A77A3" w:rsidRPr="007924B6">
        <w:rPr>
          <w:rStyle w:val="NormalCharacter"/>
          <w:rFonts w:ascii="宋体" w:hAnsi="宋体"/>
          <w:b/>
          <w:szCs w:val="21"/>
        </w:rPr>
        <w:t>；</w:t>
      </w:r>
      <w:proofErr w:type="gramStart"/>
      <w:r w:rsidR="008D40DF" w:rsidRPr="007924B6">
        <w:rPr>
          <w:rStyle w:val="NormalCharacter"/>
          <w:rFonts w:ascii="宋体" w:hAnsi="宋体"/>
          <w:b/>
          <w:szCs w:val="21"/>
        </w:rPr>
        <w:t>罕见人</w:t>
      </w:r>
      <w:proofErr w:type="gramEnd"/>
      <w:r w:rsidR="008D40DF" w:rsidRPr="007924B6">
        <w:rPr>
          <w:rStyle w:val="NormalCharacter"/>
          <w:rFonts w:ascii="宋体" w:hAnsi="宋体"/>
          <w:b/>
          <w:szCs w:val="21"/>
        </w:rPr>
        <w:t>兽共患寄生虫病的收集整理</w:t>
      </w:r>
      <w:r w:rsidR="004A77A3" w:rsidRPr="007924B6">
        <w:rPr>
          <w:rStyle w:val="NormalCharacter"/>
          <w:rFonts w:ascii="宋体" w:hAnsi="宋体"/>
          <w:b/>
          <w:szCs w:val="21"/>
        </w:rPr>
        <w:t>；动物性水产品携带寄生虫的虫体和基因组材料等；大型畜牧肠道寄生虫种类和分布数据的收集整理；</w:t>
      </w:r>
    </w:p>
    <w:p w:rsidR="00545190" w:rsidRDefault="004A77A3" w:rsidP="005E45EE">
      <w:pPr>
        <w:snapToGrid w:val="0"/>
        <w:spacing w:before="120" w:after="61" w:line="305" w:lineRule="auto"/>
        <w:ind w:firstLine="420"/>
        <w:rPr>
          <w:rStyle w:val="NormalCharacter"/>
          <w:rFonts w:ascii="宋体" w:hAnsi="宋体"/>
          <w:szCs w:val="21"/>
        </w:rPr>
      </w:pPr>
      <w:r w:rsidRPr="007924B6">
        <w:rPr>
          <w:rStyle w:val="NormalCharacter"/>
          <w:rFonts w:ascii="宋体" w:hAnsi="宋体"/>
          <w:szCs w:val="21"/>
        </w:rPr>
        <w:t>2、寄生虫与宿主互作研究类：</w:t>
      </w:r>
      <w:r w:rsidR="005E45EE" w:rsidRPr="007924B6">
        <w:rPr>
          <w:rStyle w:val="NormalCharacter"/>
          <w:rFonts w:ascii="宋体" w:hAnsi="宋体"/>
          <w:b/>
          <w:szCs w:val="21"/>
        </w:rPr>
        <w:t>泡球</w:t>
      </w:r>
      <w:proofErr w:type="gramStart"/>
      <w:r w:rsidR="005E45EE" w:rsidRPr="007924B6">
        <w:rPr>
          <w:rStyle w:val="NormalCharacter"/>
          <w:rFonts w:ascii="宋体" w:hAnsi="宋体"/>
          <w:b/>
          <w:szCs w:val="21"/>
        </w:rPr>
        <w:t>蚴</w:t>
      </w:r>
      <w:proofErr w:type="gramEnd"/>
      <w:r w:rsidR="005E45EE" w:rsidRPr="007924B6">
        <w:rPr>
          <w:rStyle w:val="NormalCharacter"/>
          <w:rFonts w:ascii="宋体" w:hAnsi="宋体"/>
          <w:b/>
          <w:szCs w:val="21"/>
        </w:rPr>
        <w:t>感染宿主的转录组</w:t>
      </w:r>
      <w:r w:rsidR="00BC1841" w:rsidRPr="007924B6">
        <w:rPr>
          <w:rStyle w:val="NormalCharacter"/>
          <w:rFonts w:ascii="宋体" w:hAnsi="宋体"/>
          <w:b/>
          <w:szCs w:val="21"/>
        </w:rPr>
        <w:t>、cDNA文库</w:t>
      </w:r>
      <w:r w:rsidR="005E45EE" w:rsidRPr="007924B6">
        <w:rPr>
          <w:rStyle w:val="NormalCharacter"/>
          <w:rFonts w:ascii="宋体" w:hAnsi="宋体"/>
          <w:b/>
          <w:szCs w:val="21"/>
        </w:rPr>
        <w:t>和</w:t>
      </w:r>
      <w:r w:rsidR="00BC1841" w:rsidRPr="007924B6">
        <w:rPr>
          <w:rStyle w:val="NormalCharacter"/>
          <w:rFonts w:ascii="宋体" w:hAnsi="宋体"/>
          <w:b/>
          <w:szCs w:val="21"/>
        </w:rPr>
        <w:t>宿主</w:t>
      </w:r>
      <w:r w:rsidR="005E45EE" w:rsidRPr="007924B6">
        <w:rPr>
          <w:rStyle w:val="NormalCharacter"/>
          <w:rFonts w:ascii="宋体" w:hAnsi="宋体"/>
          <w:b/>
          <w:szCs w:val="21"/>
        </w:rPr>
        <w:t>血清材料；</w:t>
      </w:r>
      <w:r w:rsidR="00BC1841" w:rsidRPr="007924B6">
        <w:rPr>
          <w:rStyle w:val="NormalCharacter"/>
          <w:rFonts w:ascii="宋体" w:hAnsi="宋体"/>
          <w:b/>
          <w:szCs w:val="21"/>
        </w:rPr>
        <w:t>病原体感染</w:t>
      </w:r>
      <w:proofErr w:type="gramStart"/>
      <w:r w:rsidR="00BC1841" w:rsidRPr="007924B6">
        <w:rPr>
          <w:rStyle w:val="NormalCharacter"/>
          <w:rFonts w:ascii="宋体" w:hAnsi="宋体"/>
          <w:b/>
          <w:szCs w:val="21"/>
        </w:rPr>
        <w:t>蜱</w:t>
      </w:r>
      <w:proofErr w:type="gramEnd"/>
      <w:r w:rsidR="00BC1841" w:rsidRPr="007924B6">
        <w:rPr>
          <w:rStyle w:val="NormalCharacter"/>
          <w:rFonts w:ascii="宋体" w:hAnsi="宋体"/>
          <w:b/>
          <w:szCs w:val="21"/>
        </w:rPr>
        <w:t>虫的</w:t>
      </w:r>
      <w:proofErr w:type="gramStart"/>
      <w:r w:rsidR="00BC1841" w:rsidRPr="007924B6">
        <w:rPr>
          <w:rStyle w:val="NormalCharacter"/>
          <w:rFonts w:ascii="宋体" w:hAnsi="宋体"/>
          <w:b/>
          <w:szCs w:val="21"/>
        </w:rPr>
        <w:t>转录组</w:t>
      </w:r>
      <w:proofErr w:type="gramEnd"/>
      <w:r w:rsidR="00BC1841" w:rsidRPr="007924B6">
        <w:rPr>
          <w:rStyle w:val="NormalCharacter"/>
          <w:rFonts w:ascii="宋体" w:hAnsi="宋体"/>
          <w:b/>
          <w:szCs w:val="21"/>
        </w:rPr>
        <w:t>研究及生物材料；</w:t>
      </w:r>
      <w:proofErr w:type="gramStart"/>
      <w:r w:rsidR="006679F2" w:rsidRPr="007924B6">
        <w:rPr>
          <w:rStyle w:val="NormalCharacter"/>
          <w:rFonts w:ascii="宋体" w:hAnsi="宋体"/>
          <w:b/>
          <w:szCs w:val="21"/>
        </w:rPr>
        <w:t>广州管圆线虫</w:t>
      </w:r>
      <w:proofErr w:type="gramEnd"/>
      <w:r w:rsidR="006679F2" w:rsidRPr="007924B6">
        <w:rPr>
          <w:rStyle w:val="NormalCharacter"/>
          <w:rFonts w:ascii="宋体" w:hAnsi="宋体"/>
          <w:b/>
          <w:szCs w:val="21"/>
        </w:rPr>
        <w:t>感染宿主的转录组、宏基因组或</w:t>
      </w:r>
      <w:proofErr w:type="gramStart"/>
      <w:r w:rsidR="006679F2" w:rsidRPr="007924B6">
        <w:rPr>
          <w:rStyle w:val="NormalCharacter"/>
          <w:rFonts w:ascii="宋体" w:hAnsi="宋体"/>
          <w:b/>
          <w:szCs w:val="21"/>
        </w:rPr>
        <w:t>代谢组</w:t>
      </w:r>
      <w:proofErr w:type="gramEnd"/>
      <w:r w:rsidR="006679F2" w:rsidRPr="007924B6">
        <w:rPr>
          <w:rStyle w:val="NormalCharacter"/>
          <w:rFonts w:ascii="宋体" w:hAnsi="宋体"/>
          <w:b/>
          <w:szCs w:val="21"/>
        </w:rPr>
        <w:t>研究；</w:t>
      </w:r>
    </w:p>
    <w:p w:rsidR="00545190" w:rsidRDefault="005E45EE" w:rsidP="005E45EE">
      <w:pPr>
        <w:snapToGrid w:val="0"/>
        <w:spacing w:before="120" w:after="61" w:line="305" w:lineRule="auto"/>
        <w:ind w:firstLine="420"/>
        <w:rPr>
          <w:rStyle w:val="NormalCharacter"/>
          <w:rFonts w:ascii="宋体" w:hAnsi="宋体"/>
          <w:b/>
          <w:szCs w:val="21"/>
        </w:rPr>
      </w:pPr>
      <w:r w:rsidRPr="007924B6">
        <w:rPr>
          <w:rStyle w:val="NormalCharacter"/>
          <w:rFonts w:ascii="宋体" w:hAnsi="宋体"/>
          <w:szCs w:val="21"/>
        </w:rPr>
        <w:t>2、定向调查和收集类：</w:t>
      </w:r>
      <w:r w:rsidRPr="007924B6">
        <w:rPr>
          <w:rStyle w:val="NormalCharacter"/>
          <w:rFonts w:ascii="宋体" w:hAnsi="宋体"/>
          <w:b/>
          <w:szCs w:val="21"/>
        </w:rPr>
        <w:t>我国境内淡水螺的</w:t>
      </w:r>
      <w:r w:rsidR="00BC1841" w:rsidRPr="007924B6">
        <w:rPr>
          <w:rStyle w:val="NormalCharacter"/>
          <w:rFonts w:ascii="宋体" w:hAnsi="宋体"/>
          <w:b/>
          <w:szCs w:val="21"/>
        </w:rPr>
        <w:t>主要</w:t>
      </w:r>
      <w:r w:rsidRPr="007924B6">
        <w:rPr>
          <w:rStyle w:val="NormalCharacter"/>
          <w:rFonts w:ascii="宋体" w:hAnsi="宋体"/>
          <w:b/>
          <w:szCs w:val="21"/>
        </w:rPr>
        <w:t>种类及分布调查</w:t>
      </w:r>
      <w:r w:rsidR="00BC1841" w:rsidRPr="007924B6">
        <w:rPr>
          <w:rStyle w:val="NormalCharacter"/>
          <w:rFonts w:ascii="宋体" w:hAnsi="宋体"/>
          <w:b/>
          <w:szCs w:val="21"/>
        </w:rPr>
        <w:t>；</w:t>
      </w:r>
      <w:r w:rsidR="004A77A3" w:rsidRPr="007924B6">
        <w:rPr>
          <w:rStyle w:val="NormalCharacter"/>
          <w:rFonts w:ascii="宋体" w:hAnsi="宋体"/>
          <w:b/>
          <w:szCs w:val="21"/>
        </w:rPr>
        <w:t>我国</w:t>
      </w:r>
      <w:proofErr w:type="gramStart"/>
      <w:r w:rsidR="004A77A3" w:rsidRPr="007924B6">
        <w:rPr>
          <w:rStyle w:val="NormalCharacter"/>
          <w:rFonts w:ascii="宋体" w:hAnsi="宋体"/>
          <w:b/>
          <w:szCs w:val="21"/>
        </w:rPr>
        <w:t>境内肝</w:t>
      </w:r>
      <w:proofErr w:type="gramEnd"/>
      <w:r w:rsidR="004A77A3" w:rsidRPr="007924B6">
        <w:rPr>
          <w:rStyle w:val="NormalCharacter"/>
          <w:rFonts w:ascii="宋体" w:hAnsi="宋体"/>
          <w:b/>
          <w:szCs w:val="21"/>
        </w:rPr>
        <w:t>片吸虫的分布调查；我国北部地区几种主要</w:t>
      </w:r>
      <w:proofErr w:type="gramStart"/>
      <w:r w:rsidR="004A77A3" w:rsidRPr="007924B6">
        <w:rPr>
          <w:rStyle w:val="NormalCharacter"/>
          <w:rFonts w:ascii="宋体" w:hAnsi="宋体"/>
          <w:b/>
          <w:szCs w:val="21"/>
        </w:rPr>
        <w:t>蜱</w:t>
      </w:r>
      <w:proofErr w:type="gramEnd"/>
      <w:r w:rsidR="004A77A3" w:rsidRPr="007924B6">
        <w:rPr>
          <w:rStyle w:val="NormalCharacter"/>
          <w:rFonts w:ascii="宋体" w:hAnsi="宋体"/>
          <w:b/>
          <w:szCs w:val="21"/>
        </w:rPr>
        <w:t>虫的分布调查及</w:t>
      </w:r>
      <w:proofErr w:type="gramStart"/>
      <w:r w:rsidR="004A77A3" w:rsidRPr="007924B6">
        <w:rPr>
          <w:rStyle w:val="NormalCharacter"/>
          <w:rFonts w:ascii="宋体" w:hAnsi="宋体"/>
          <w:b/>
          <w:szCs w:val="21"/>
        </w:rPr>
        <w:t>蜱</w:t>
      </w:r>
      <w:proofErr w:type="gramEnd"/>
      <w:r w:rsidR="004A77A3" w:rsidRPr="007924B6">
        <w:rPr>
          <w:rStyle w:val="NormalCharacter"/>
          <w:rFonts w:ascii="宋体" w:hAnsi="宋体"/>
          <w:b/>
          <w:szCs w:val="21"/>
        </w:rPr>
        <w:t>传病原调研；我国北部农区主要植物寄生线虫的种类和分布调查；</w:t>
      </w:r>
      <w:r w:rsidR="006679F2" w:rsidRPr="007924B6">
        <w:rPr>
          <w:rStyle w:val="NormalCharacter"/>
          <w:rFonts w:ascii="宋体" w:hAnsi="宋体"/>
          <w:b/>
          <w:szCs w:val="21"/>
        </w:rPr>
        <w:t>输入性热带病原的传播媒介鉴别及溯源；</w:t>
      </w:r>
      <w:r w:rsidR="00E07F89" w:rsidRPr="007924B6">
        <w:rPr>
          <w:rStyle w:val="NormalCharacter"/>
          <w:rFonts w:ascii="宋体" w:hAnsi="宋体"/>
          <w:b/>
          <w:szCs w:val="21"/>
        </w:rPr>
        <w:t>我国境内甲壳</w:t>
      </w:r>
      <w:proofErr w:type="gramStart"/>
      <w:r w:rsidR="00E07F89" w:rsidRPr="007924B6">
        <w:rPr>
          <w:rStyle w:val="NormalCharacter"/>
          <w:rFonts w:ascii="宋体" w:hAnsi="宋体"/>
          <w:b/>
          <w:szCs w:val="21"/>
        </w:rPr>
        <w:t>纲</w:t>
      </w:r>
      <w:proofErr w:type="gramEnd"/>
      <w:r w:rsidR="00E07F89" w:rsidRPr="007924B6">
        <w:rPr>
          <w:rStyle w:val="NormalCharacter"/>
          <w:rFonts w:ascii="宋体" w:hAnsi="宋体"/>
          <w:b/>
          <w:szCs w:val="21"/>
        </w:rPr>
        <w:t>媒介及携带寄生虫的调查；</w:t>
      </w:r>
    </w:p>
    <w:p w:rsidR="00545190" w:rsidRDefault="00E212AC">
      <w:pPr>
        <w:snapToGrid w:val="0"/>
        <w:spacing w:line="305" w:lineRule="auto"/>
        <w:ind w:firstLine="420"/>
        <w:rPr>
          <w:rStyle w:val="NormalCharacter"/>
          <w:b/>
        </w:rPr>
      </w:pPr>
      <w:r w:rsidRPr="007924B6">
        <w:rPr>
          <w:rStyle w:val="NormalCharacter"/>
          <w:b/>
        </w:rPr>
        <w:t>2</w:t>
      </w:r>
      <w:r w:rsidRPr="007924B6">
        <w:rPr>
          <w:rStyle w:val="NormalCharacter"/>
          <w:b/>
        </w:rPr>
        <w:t>、</w:t>
      </w:r>
      <w:r w:rsidR="00262255" w:rsidRPr="007924B6">
        <w:rPr>
          <w:rStyle w:val="NormalCharacter"/>
        </w:rPr>
        <w:t>标准</w:t>
      </w:r>
      <w:proofErr w:type="gramStart"/>
      <w:r w:rsidR="00262255" w:rsidRPr="007924B6">
        <w:rPr>
          <w:rStyle w:val="NormalCharacter"/>
        </w:rPr>
        <w:t>株建设</w:t>
      </w:r>
      <w:proofErr w:type="gramEnd"/>
      <w:r w:rsidR="00262255" w:rsidRPr="007924B6">
        <w:rPr>
          <w:rStyle w:val="NormalCharacter"/>
        </w:rPr>
        <w:t>类：</w:t>
      </w:r>
      <w:r w:rsidR="008D40DF" w:rsidRPr="007924B6">
        <w:rPr>
          <w:rStyle w:val="NormalCharacter"/>
          <w:b/>
        </w:rPr>
        <w:t>重要</w:t>
      </w:r>
      <w:r w:rsidR="006679F2" w:rsidRPr="007924B6">
        <w:rPr>
          <w:rStyle w:val="NormalCharacter"/>
          <w:b/>
        </w:rPr>
        <w:t>寄生虫</w:t>
      </w:r>
      <w:r w:rsidR="00262255" w:rsidRPr="007924B6">
        <w:rPr>
          <w:rStyle w:val="NormalCharacter"/>
          <w:b/>
        </w:rPr>
        <w:t>标准株的建立</w:t>
      </w:r>
      <w:r w:rsidR="006679F2" w:rsidRPr="007924B6">
        <w:rPr>
          <w:rStyle w:val="NormalCharacter"/>
          <w:b/>
        </w:rPr>
        <w:t>如</w:t>
      </w:r>
      <w:r w:rsidR="005E45EE" w:rsidRPr="007924B6">
        <w:rPr>
          <w:rStyle w:val="NormalCharacter"/>
          <w:b/>
        </w:rPr>
        <w:t>泡球</w:t>
      </w:r>
      <w:proofErr w:type="gramStart"/>
      <w:r w:rsidR="005E45EE" w:rsidRPr="007924B6">
        <w:rPr>
          <w:rStyle w:val="NormalCharacter"/>
          <w:b/>
        </w:rPr>
        <w:t>蚴</w:t>
      </w:r>
      <w:proofErr w:type="gramEnd"/>
      <w:r w:rsidR="005E45EE" w:rsidRPr="007924B6">
        <w:rPr>
          <w:rStyle w:val="NormalCharacter"/>
          <w:b/>
        </w:rPr>
        <w:t>标准</w:t>
      </w:r>
      <w:proofErr w:type="gramStart"/>
      <w:r w:rsidR="005E45EE" w:rsidRPr="007924B6">
        <w:rPr>
          <w:rStyle w:val="NormalCharacter"/>
          <w:b/>
        </w:rPr>
        <w:t>株及</w:t>
      </w:r>
      <w:r w:rsidR="00BC1841" w:rsidRPr="007924B6">
        <w:rPr>
          <w:rStyle w:val="NormalCharacter"/>
          <w:b/>
        </w:rPr>
        <w:t>其</w:t>
      </w:r>
      <w:r w:rsidR="005E45EE" w:rsidRPr="007924B6">
        <w:rPr>
          <w:rStyle w:val="NormalCharacter"/>
          <w:b/>
        </w:rPr>
        <w:t>全</w:t>
      </w:r>
      <w:proofErr w:type="gramEnd"/>
      <w:r w:rsidR="005E45EE" w:rsidRPr="007924B6">
        <w:rPr>
          <w:rStyle w:val="NormalCharacter"/>
          <w:b/>
        </w:rPr>
        <w:t>基因组、转录组、蛋白组等材料；</w:t>
      </w:r>
      <w:r w:rsidR="00BC1841" w:rsidRPr="007924B6">
        <w:rPr>
          <w:rStyle w:val="NormalCharacter"/>
          <w:b/>
        </w:rPr>
        <w:t>多种基因分型的滴虫标准株；</w:t>
      </w:r>
      <w:proofErr w:type="gramStart"/>
      <w:r w:rsidR="00BC1841" w:rsidRPr="007924B6">
        <w:rPr>
          <w:rStyle w:val="NormalCharacter"/>
          <w:b/>
        </w:rPr>
        <w:t>巴贝虫的</w:t>
      </w:r>
      <w:proofErr w:type="gramEnd"/>
      <w:r w:rsidR="00BC1841" w:rsidRPr="007924B6">
        <w:rPr>
          <w:rStyle w:val="NormalCharacter"/>
          <w:b/>
        </w:rPr>
        <w:t>中国标准</w:t>
      </w:r>
      <w:proofErr w:type="gramStart"/>
      <w:r w:rsidR="00BC1841" w:rsidRPr="007924B6">
        <w:rPr>
          <w:rStyle w:val="NormalCharacter"/>
          <w:b/>
        </w:rPr>
        <w:t>株培养</w:t>
      </w:r>
      <w:proofErr w:type="gramEnd"/>
      <w:r w:rsidR="00BC1841" w:rsidRPr="007924B6">
        <w:rPr>
          <w:rStyle w:val="NormalCharacter"/>
          <w:b/>
        </w:rPr>
        <w:t>及基因组材料；</w:t>
      </w:r>
    </w:p>
    <w:p w:rsidR="00545190" w:rsidRDefault="00262255" w:rsidP="00262255">
      <w:pPr>
        <w:snapToGrid w:val="0"/>
        <w:spacing w:line="305" w:lineRule="auto"/>
        <w:ind w:firstLine="420"/>
        <w:rPr>
          <w:rStyle w:val="NormalCharacter"/>
          <w:b/>
        </w:rPr>
      </w:pPr>
      <w:r w:rsidRPr="007924B6">
        <w:rPr>
          <w:rStyle w:val="NormalCharacter"/>
          <w:b/>
        </w:rPr>
        <w:t>3</w:t>
      </w:r>
      <w:r w:rsidRPr="007924B6">
        <w:rPr>
          <w:rStyle w:val="NormalCharacter"/>
          <w:b/>
        </w:rPr>
        <w:t>、</w:t>
      </w:r>
      <w:r w:rsidRPr="007924B6">
        <w:rPr>
          <w:rStyle w:val="NormalCharacter"/>
        </w:rPr>
        <w:t>重要变异检测、</w:t>
      </w:r>
      <w:proofErr w:type="gramStart"/>
      <w:r w:rsidRPr="007924B6">
        <w:rPr>
          <w:rStyle w:val="NormalCharacter"/>
        </w:rPr>
        <w:t>抗药或适生性</w:t>
      </w:r>
      <w:proofErr w:type="gramEnd"/>
      <w:r w:rsidRPr="007924B6">
        <w:rPr>
          <w:rStyle w:val="NormalCharacter"/>
        </w:rPr>
        <w:t>进化类：</w:t>
      </w:r>
      <w:r w:rsidRPr="007924B6">
        <w:rPr>
          <w:rStyle w:val="NormalCharacter"/>
          <w:b/>
        </w:rPr>
        <w:t>入侵螺类种群遗传变异及适应性机制探查、特殊地域地貌下甲壳类生物的物种多样性</w:t>
      </w:r>
      <w:r w:rsidR="006679F2" w:rsidRPr="007924B6">
        <w:rPr>
          <w:rStyle w:val="NormalCharacter"/>
          <w:b/>
        </w:rPr>
        <w:t>；</w:t>
      </w:r>
      <w:r w:rsidR="008D40DF" w:rsidRPr="007924B6">
        <w:rPr>
          <w:rStyle w:val="NormalCharacter"/>
          <w:b/>
        </w:rPr>
        <w:t>球虫</w:t>
      </w:r>
      <w:r w:rsidR="004A77A3" w:rsidRPr="007924B6">
        <w:rPr>
          <w:rStyle w:val="NormalCharacter"/>
          <w:b/>
        </w:rPr>
        <w:t>的耐药株构建及</w:t>
      </w:r>
      <w:r w:rsidR="008D40DF" w:rsidRPr="007924B6">
        <w:rPr>
          <w:rStyle w:val="NormalCharacter"/>
          <w:b/>
        </w:rPr>
        <w:t>耐药性产生机制调查</w:t>
      </w:r>
      <w:r w:rsidR="004A77A3" w:rsidRPr="007924B6">
        <w:rPr>
          <w:rStyle w:val="NormalCharacter"/>
          <w:b/>
        </w:rPr>
        <w:t>；恶性疟抗药株的构建及相关生物材料；</w:t>
      </w:r>
    </w:p>
    <w:p w:rsidR="00545190" w:rsidRDefault="00545190">
      <w:pPr>
        <w:snapToGrid w:val="0"/>
        <w:spacing w:line="305" w:lineRule="auto"/>
        <w:ind w:firstLine="420"/>
        <w:rPr>
          <w:rStyle w:val="NormalCharacter"/>
        </w:rPr>
      </w:pPr>
    </w:p>
    <w:p w:rsidR="00545190" w:rsidRDefault="00E212AC">
      <w:pPr>
        <w:snapToGrid w:val="0"/>
        <w:spacing w:before="120" w:after="61" w:line="312" w:lineRule="auto"/>
        <w:rPr>
          <w:rStyle w:val="NormalCharacter"/>
          <w:rFonts w:eastAsia="楷体_GB2312"/>
          <w:b/>
          <w:sz w:val="28"/>
        </w:rPr>
      </w:pPr>
      <w:r w:rsidRPr="007924B6">
        <w:rPr>
          <w:rStyle w:val="NormalCharacter"/>
          <w:rFonts w:eastAsia="楷体_GB2312"/>
          <w:b/>
          <w:sz w:val="28"/>
        </w:rPr>
        <w:t>五、开放课题的申请与评审</w:t>
      </w:r>
    </w:p>
    <w:p w:rsidR="00545190" w:rsidRDefault="008D40DF">
      <w:pPr>
        <w:pStyle w:val="BodyTextIndent2"/>
        <w:snapToGrid w:val="0"/>
        <w:spacing w:line="312" w:lineRule="auto"/>
        <w:ind w:firstLine="416"/>
        <w:rPr>
          <w:rStyle w:val="NormalCharacter"/>
        </w:rPr>
      </w:pPr>
      <w:r w:rsidRPr="007924B6">
        <w:rPr>
          <w:rStyle w:val="NormalCharacter"/>
        </w:rPr>
        <w:t>开放</w:t>
      </w:r>
      <w:r w:rsidR="00E212AC" w:rsidRPr="007924B6">
        <w:rPr>
          <w:rStyle w:val="NormalCharacter"/>
        </w:rPr>
        <w:t>课题资助实行基金制。国内外科学工作者都可以在本指南范围内提出申请，</w:t>
      </w:r>
      <w:proofErr w:type="gramStart"/>
      <w:r w:rsidR="00E212AC" w:rsidRPr="007924B6">
        <w:rPr>
          <w:rStyle w:val="NormalCharacter"/>
        </w:rPr>
        <w:t>经</w:t>
      </w:r>
      <w:r w:rsidRPr="007924B6">
        <w:rPr>
          <w:rStyle w:val="NormalCharacter"/>
        </w:rPr>
        <w:t>资源库</w:t>
      </w:r>
      <w:r w:rsidR="00E212AC" w:rsidRPr="007924B6">
        <w:rPr>
          <w:rStyle w:val="NormalCharacter"/>
        </w:rPr>
        <w:t>批准</w:t>
      </w:r>
      <w:proofErr w:type="gramEnd"/>
      <w:r w:rsidR="00E212AC" w:rsidRPr="007924B6">
        <w:rPr>
          <w:rStyle w:val="NormalCharacter"/>
        </w:rPr>
        <w:t>资助后，</w:t>
      </w:r>
      <w:r w:rsidRPr="007924B6">
        <w:rPr>
          <w:rStyle w:val="NormalCharacter"/>
        </w:rPr>
        <w:t>即</w:t>
      </w:r>
      <w:r w:rsidR="00E212AC" w:rsidRPr="007924B6">
        <w:rPr>
          <w:rStyle w:val="NormalCharacter"/>
        </w:rPr>
        <w:t>可</w:t>
      </w:r>
      <w:r w:rsidRPr="007924B6">
        <w:rPr>
          <w:rStyle w:val="NormalCharacter"/>
        </w:rPr>
        <w:t>获取经费并安排收集任务</w:t>
      </w:r>
      <w:r w:rsidR="00E212AC" w:rsidRPr="007924B6">
        <w:rPr>
          <w:rStyle w:val="NormalCharacter"/>
        </w:rPr>
        <w:t>。具体办法如下：</w:t>
      </w:r>
    </w:p>
    <w:p w:rsidR="00545190" w:rsidRDefault="00ED4767" w:rsidP="00ED4767">
      <w:pPr>
        <w:snapToGrid w:val="0"/>
        <w:spacing w:line="312" w:lineRule="auto"/>
        <w:rPr>
          <w:rStyle w:val="NormalCharacter"/>
        </w:rPr>
      </w:pPr>
      <w:r w:rsidRPr="007924B6">
        <w:rPr>
          <w:rStyle w:val="NormalCharacter"/>
        </w:rPr>
        <w:t>1</w:t>
      </w:r>
      <w:r w:rsidRPr="007924B6">
        <w:rPr>
          <w:rStyle w:val="NormalCharacter"/>
        </w:rPr>
        <w:t>、开放</w:t>
      </w:r>
      <w:r w:rsidR="00E212AC" w:rsidRPr="007924B6">
        <w:rPr>
          <w:rStyle w:val="NormalCharacter"/>
        </w:rPr>
        <w:t>课题的申请者一般应为副研究员（或相当专业技术职务者）以上科技人员或获得博士学位的科技人员；其它申请者需</w:t>
      </w:r>
      <w:r w:rsidR="000876E2" w:rsidRPr="007924B6">
        <w:rPr>
          <w:rStyle w:val="NormalCharacter"/>
        </w:rPr>
        <w:t>持</w:t>
      </w:r>
      <w:r w:rsidR="00E212AC" w:rsidRPr="007924B6">
        <w:rPr>
          <w:rStyle w:val="NormalCharacter"/>
        </w:rPr>
        <w:t>有一名</w:t>
      </w:r>
      <w:r w:rsidR="000876E2" w:rsidRPr="007924B6">
        <w:rPr>
          <w:rStyle w:val="NormalCharacter"/>
        </w:rPr>
        <w:t>同单位研究员</w:t>
      </w:r>
      <w:r w:rsidR="000876E2" w:rsidRPr="007924B6">
        <w:rPr>
          <w:rStyle w:val="NormalCharacter"/>
        </w:rPr>
        <w:t>/</w:t>
      </w:r>
      <w:r w:rsidR="000876E2" w:rsidRPr="007924B6">
        <w:rPr>
          <w:rStyle w:val="NormalCharacter"/>
        </w:rPr>
        <w:t>教授</w:t>
      </w:r>
      <w:r w:rsidR="00E212AC" w:rsidRPr="007924B6">
        <w:rPr>
          <w:rStyle w:val="NormalCharacter"/>
        </w:rPr>
        <w:t>（</w:t>
      </w:r>
      <w:r w:rsidR="000876E2" w:rsidRPr="007924B6">
        <w:rPr>
          <w:rStyle w:val="NormalCharacter"/>
        </w:rPr>
        <w:t>正高职称</w:t>
      </w:r>
      <w:r w:rsidR="00E212AC" w:rsidRPr="007924B6">
        <w:rPr>
          <w:rStyle w:val="NormalCharacter"/>
        </w:rPr>
        <w:t>）的推荐</w:t>
      </w:r>
      <w:r w:rsidR="000876E2" w:rsidRPr="007924B6">
        <w:rPr>
          <w:rStyle w:val="NormalCharacter"/>
        </w:rPr>
        <w:t>信</w:t>
      </w:r>
      <w:r w:rsidR="00E212AC" w:rsidRPr="007924B6">
        <w:rPr>
          <w:rStyle w:val="NormalCharacter"/>
        </w:rPr>
        <w:t>；鼓励青年科技人员申请。</w:t>
      </w:r>
    </w:p>
    <w:p w:rsidR="00545190" w:rsidRDefault="00ED4767" w:rsidP="00ED4767">
      <w:pPr>
        <w:snapToGrid w:val="0"/>
        <w:spacing w:line="312" w:lineRule="auto"/>
        <w:rPr>
          <w:rStyle w:val="NormalCharacter"/>
        </w:rPr>
      </w:pPr>
      <w:r w:rsidRPr="007924B6">
        <w:rPr>
          <w:rStyle w:val="NormalCharacter"/>
        </w:rPr>
        <w:t>2</w:t>
      </w:r>
      <w:r w:rsidRPr="007924B6">
        <w:rPr>
          <w:rStyle w:val="NormalCharacter"/>
        </w:rPr>
        <w:t>、</w:t>
      </w:r>
      <w:r w:rsidR="00E212AC" w:rsidRPr="007924B6">
        <w:rPr>
          <w:rStyle w:val="NormalCharacter"/>
        </w:rPr>
        <w:t>申请者登录</w:t>
      </w:r>
      <w:r w:rsidRPr="007924B6">
        <w:rPr>
          <w:rStyle w:val="NormalCharacter"/>
        </w:rPr>
        <w:t>TDRC</w:t>
      </w:r>
      <w:r w:rsidR="00E212AC" w:rsidRPr="007924B6">
        <w:rPr>
          <w:rStyle w:val="NormalCharacter"/>
        </w:rPr>
        <w:t>网</w:t>
      </w:r>
      <w:r w:rsidRPr="007924B6">
        <w:rPr>
          <w:rStyle w:val="NormalCharacter"/>
        </w:rPr>
        <w:t>站，</w:t>
      </w:r>
      <w:r w:rsidR="00E212AC" w:rsidRPr="007924B6">
        <w:rPr>
          <w:rStyle w:val="NormalCharacter"/>
          <w:color w:val="FF0000"/>
        </w:rPr>
        <w:t>在开放基金</w:t>
      </w:r>
      <w:r w:rsidRPr="007924B6">
        <w:rPr>
          <w:rStyle w:val="NormalCharacter"/>
          <w:color w:val="FF0000"/>
        </w:rPr>
        <w:t>新闻</w:t>
      </w:r>
      <w:r w:rsidR="00E212AC" w:rsidRPr="007924B6">
        <w:rPr>
          <w:rStyle w:val="NormalCharacter"/>
          <w:color w:val="FF0000"/>
        </w:rPr>
        <w:t>中下载</w:t>
      </w:r>
      <w:r w:rsidR="00E212AC" w:rsidRPr="007924B6">
        <w:rPr>
          <w:rStyle w:val="NormalCharacter"/>
        </w:rPr>
        <w:t>申请书，按要求认真填写，并取得所在工作单位同意（可在邮件中表明），将电子版发送到</w:t>
      </w:r>
      <w:r w:rsidRPr="007924B6">
        <w:rPr>
          <w:rStyle w:val="NormalCharacter"/>
        </w:rPr>
        <w:t>资源库秘书处</w:t>
      </w:r>
      <w:r w:rsidR="00E212AC" w:rsidRPr="007924B6">
        <w:rPr>
          <w:rStyle w:val="NormalCharacter"/>
        </w:rPr>
        <w:t>，由</w:t>
      </w:r>
      <w:r w:rsidRPr="007924B6">
        <w:rPr>
          <w:rStyle w:val="NormalCharacter"/>
        </w:rPr>
        <w:t>资源</w:t>
      </w:r>
      <w:proofErr w:type="gramStart"/>
      <w:r w:rsidRPr="007924B6">
        <w:rPr>
          <w:rStyle w:val="NormalCharacter"/>
        </w:rPr>
        <w:t>库组织</w:t>
      </w:r>
      <w:proofErr w:type="gramEnd"/>
      <w:r w:rsidRPr="007924B6">
        <w:rPr>
          <w:rStyle w:val="NormalCharacter"/>
        </w:rPr>
        <w:t>专家评审后，按照相关要求，将纸质版加盖公章后，在规定日期前提交资源库</w:t>
      </w:r>
      <w:r w:rsidR="00E212AC" w:rsidRPr="007924B6">
        <w:rPr>
          <w:rStyle w:val="NormalCharacter"/>
        </w:rPr>
        <w:t>。</w:t>
      </w:r>
    </w:p>
    <w:p w:rsidR="00545190" w:rsidRDefault="00ED4767" w:rsidP="00ED4767">
      <w:pPr>
        <w:snapToGrid w:val="0"/>
        <w:spacing w:before="120" w:after="61" w:line="305" w:lineRule="auto"/>
        <w:rPr>
          <w:rStyle w:val="NormalCharacter"/>
          <w:rFonts w:ascii="宋体" w:hAnsi="宋体"/>
          <w:szCs w:val="21"/>
        </w:rPr>
      </w:pPr>
      <w:r w:rsidRPr="007924B6">
        <w:rPr>
          <w:rStyle w:val="NormalCharacter"/>
        </w:rPr>
        <w:t>3</w:t>
      </w:r>
      <w:r w:rsidRPr="007924B6">
        <w:rPr>
          <w:rStyle w:val="NormalCharacter"/>
        </w:rPr>
        <w:t>、开放课题资助额度为</w:t>
      </w:r>
      <w:r w:rsidRPr="007924B6">
        <w:rPr>
          <w:rStyle w:val="NormalCharacter"/>
          <w:rFonts w:ascii="宋体" w:hAnsi="宋体"/>
          <w:b/>
          <w:szCs w:val="21"/>
        </w:rPr>
        <w:t>科技资源</w:t>
      </w:r>
      <w:proofErr w:type="gramStart"/>
      <w:r w:rsidRPr="007924B6">
        <w:rPr>
          <w:rStyle w:val="NormalCharacter"/>
          <w:rFonts w:ascii="宋体" w:hAnsi="宋体"/>
          <w:b/>
          <w:szCs w:val="21"/>
        </w:rPr>
        <w:t>汇交</w:t>
      </w:r>
      <w:r w:rsidR="005C0807" w:rsidRPr="007924B6">
        <w:rPr>
          <w:rStyle w:val="NormalCharacter"/>
          <w:rFonts w:ascii="宋体" w:hAnsi="宋体"/>
          <w:b/>
          <w:szCs w:val="21"/>
        </w:rPr>
        <w:t>类</w:t>
      </w:r>
      <w:r w:rsidRPr="007924B6">
        <w:rPr>
          <w:rStyle w:val="NormalCharacter"/>
          <w:rFonts w:ascii="宋体" w:hAnsi="宋体"/>
          <w:b/>
          <w:bCs/>
          <w:szCs w:val="21"/>
        </w:rPr>
        <w:t>项目</w:t>
      </w:r>
      <w:proofErr w:type="gramEnd"/>
      <w:r w:rsidRPr="007924B6">
        <w:rPr>
          <w:rStyle w:val="NormalCharacter"/>
          <w:rFonts w:ascii="宋体" w:hAnsi="宋体"/>
          <w:bCs/>
          <w:szCs w:val="21"/>
        </w:rPr>
        <w:t>不超过</w:t>
      </w:r>
      <w:r w:rsidRPr="007924B6">
        <w:rPr>
          <w:rStyle w:val="NormalCharacter"/>
        </w:rPr>
        <w:t>5</w:t>
      </w:r>
      <w:r w:rsidRPr="007924B6">
        <w:rPr>
          <w:rStyle w:val="NormalCharacter"/>
        </w:rPr>
        <w:t>万元，</w:t>
      </w:r>
      <w:r w:rsidRPr="007924B6">
        <w:rPr>
          <w:rStyle w:val="NormalCharacter"/>
          <w:rFonts w:ascii="宋体" w:hAnsi="宋体"/>
          <w:b/>
          <w:szCs w:val="21"/>
        </w:rPr>
        <w:t>资源探查</w:t>
      </w:r>
      <w:r w:rsidR="005C0807" w:rsidRPr="007924B6">
        <w:rPr>
          <w:rStyle w:val="NormalCharacter"/>
          <w:rFonts w:ascii="宋体" w:hAnsi="宋体"/>
          <w:b/>
          <w:szCs w:val="21"/>
        </w:rPr>
        <w:t>类</w:t>
      </w:r>
      <w:r w:rsidRPr="007924B6">
        <w:rPr>
          <w:rStyle w:val="NormalCharacter"/>
          <w:rFonts w:ascii="宋体" w:hAnsi="宋体"/>
          <w:b/>
          <w:szCs w:val="21"/>
        </w:rPr>
        <w:t>项目</w:t>
      </w:r>
      <w:r w:rsidRPr="007924B6">
        <w:rPr>
          <w:rStyle w:val="NormalCharacter"/>
          <w:rFonts w:ascii="宋体" w:hAnsi="宋体"/>
          <w:bCs/>
          <w:szCs w:val="21"/>
        </w:rPr>
        <w:t>不超过</w:t>
      </w:r>
      <w:r w:rsidRPr="007924B6">
        <w:rPr>
          <w:rStyle w:val="NormalCharacter"/>
        </w:rPr>
        <w:t>10</w:t>
      </w:r>
      <w:r w:rsidRPr="007924B6">
        <w:rPr>
          <w:rStyle w:val="NormalCharacter"/>
        </w:rPr>
        <w:t>万元，执行期不得超过资源库本轮执行期，课题经费的使用需符合科技部专项经费管理办法及实验室依托单位相关财务规定。</w:t>
      </w:r>
    </w:p>
    <w:p w:rsidR="00545190" w:rsidRDefault="00545190">
      <w:pPr>
        <w:snapToGrid w:val="0"/>
        <w:spacing w:before="120" w:after="61" w:line="312" w:lineRule="auto"/>
        <w:rPr>
          <w:rStyle w:val="NormalCharacter"/>
          <w:rFonts w:eastAsia="楷体_GB2312"/>
          <w:b/>
          <w:sz w:val="28"/>
        </w:rPr>
      </w:pPr>
    </w:p>
    <w:p w:rsidR="00545190" w:rsidRDefault="00E212AC">
      <w:pPr>
        <w:snapToGrid w:val="0"/>
        <w:spacing w:before="120" w:after="61" w:line="312" w:lineRule="auto"/>
        <w:rPr>
          <w:rStyle w:val="NormalCharacter"/>
          <w:rFonts w:eastAsia="楷体_GB2312"/>
          <w:b/>
          <w:sz w:val="28"/>
        </w:rPr>
      </w:pPr>
      <w:r w:rsidRPr="007924B6">
        <w:rPr>
          <w:rStyle w:val="NormalCharacter"/>
          <w:rFonts w:eastAsia="楷体_GB2312"/>
          <w:b/>
          <w:sz w:val="28"/>
        </w:rPr>
        <w:t>六、执行说明</w:t>
      </w:r>
    </w:p>
    <w:p w:rsidR="00545190" w:rsidRDefault="00E212AC">
      <w:pPr>
        <w:snapToGrid w:val="0"/>
        <w:spacing w:line="312" w:lineRule="auto"/>
        <w:ind w:firstLineChars="200" w:firstLine="408"/>
        <w:rPr>
          <w:rStyle w:val="NormalCharacter"/>
        </w:rPr>
      </w:pPr>
      <w:r w:rsidRPr="007924B6">
        <w:rPr>
          <w:rStyle w:val="NormalCharacter"/>
        </w:rPr>
        <w:lastRenderedPageBreak/>
        <w:t>1</w:t>
      </w:r>
      <w:r w:rsidRPr="007924B6">
        <w:rPr>
          <w:rStyle w:val="NormalCharacter"/>
        </w:rPr>
        <w:t>、本次课题的执行期为</w:t>
      </w:r>
      <w:r w:rsidRPr="007924B6">
        <w:rPr>
          <w:rStyle w:val="NormalCharacter"/>
        </w:rPr>
        <w:t>20</w:t>
      </w:r>
      <w:r w:rsidR="00ED4767" w:rsidRPr="007924B6">
        <w:rPr>
          <w:rStyle w:val="NormalCharacter"/>
        </w:rPr>
        <w:t>2</w:t>
      </w:r>
      <w:r w:rsidR="007D6439" w:rsidRPr="007924B6">
        <w:rPr>
          <w:rStyle w:val="NormalCharacter"/>
        </w:rPr>
        <w:t>1</w:t>
      </w:r>
      <w:r w:rsidRPr="007924B6">
        <w:rPr>
          <w:rStyle w:val="NormalCharacter"/>
        </w:rPr>
        <w:t>年</w:t>
      </w:r>
      <w:r w:rsidR="007D6439" w:rsidRPr="007924B6">
        <w:rPr>
          <w:rStyle w:val="NormalCharacter"/>
        </w:rPr>
        <w:t>4</w:t>
      </w:r>
      <w:r w:rsidRPr="007924B6">
        <w:rPr>
          <w:rStyle w:val="NormalCharacter"/>
        </w:rPr>
        <w:t>月至</w:t>
      </w:r>
      <w:r w:rsidRPr="007924B6">
        <w:rPr>
          <w:rStyle w:val="NormalCharacter"/>
        </w:rPr>
        <w:t>202</w:t>
      </w:r>
      <w:r w:rsidR="007D6439" w:rsidRPr="007924B6">
        <w:rPr>
          <w:rStyle w:val="NormalCharacter"/>
        </w:rPr>
        <w:t>1</w:t>
      </w:r>
      <w:r w:rsidRPr="007924B6">
        <w:rPr>
          <w:rStyle w:val="NormalCharacter"/>
        </w:rPr>
        <w:t>年</w:t>
      </w:r>
      <w:r w:rsidR="009960C1" w:rsidRPr="007924B6">
        <w:rPr>
          <w:rStyle w:val="NormalCharacter"/>
        </w:rPr>
        <w:t>12</w:t>
      </w:r>
      <w:r w:rsidRPr="007924B6">
        <w:rPr>
          <w:rStyle w:val="NormalCharacter"/>
        </w:rPr>
        <w:t>月底。自本指南公布之日起，开始接受课题申请，截止日期为</w:t>
      </w:r>
      <w:r w:rsidRPr="007924B6">
        <w:rPr>
          <w:rStyle w:val="NormalCharacter"/>
        </w:rPr>
        <w:t>20</w:t>
      </w:r>
      <w:r w:rsidR="00ED4767" w:rsidRPr="007924B6">
        <w:rPr>
          <w:rStyle w:val="NormalCharacter"/>
        </w:rPr>
        <w:t>2</w:t>
      </w:r>
      <w:r w:rsidR="007D6439" w:rsidRPr="007924B6">
        <w:rPr>
          <w:rStyle w:val="NormalCharacter"/>
        </w:rPr>
        <w:t>1</w:t>
      </w:r>
      <w:r w:rsidRPr="007924B6">
        <w:rPr>
          <w:rStyle w:val="NormalCharacter"/>
        </w:rPr>
        <w:t>年</w:t>
      </w:r>
      <w:r w:rsidR="007D6439" w:rsidRPr="007924B6">
        <w:rPr>
          <w:rStyle w:val="NormalCharacter"/>
        </w:rPr>
        <w:t>4</w:t>
      </w:r>
      <w:r w:rsidRPr="007924B6">
        <w:rPr>
          <w:rStyle w:val="NormalCharacter"/>
        </w:rPr>
        <w:t>月</w:t>
      </w:r>
      <w:r w:rsidR="009960C1" w:rsidRPr="007924B6">
        <w:rPr>
          <w:rStyle w:val="NormalCharacter"/>
        </w:rPr>
        <w:t>1</w:t>
      </w:r>
      <w:r w:rsidR="000369D5">
        <w:rPr>
          <w:rStyle w:val="NormalCharacter"/>
        </w:rPr>
        <w:t>0</w:t>
      </w:r>
      <w:bookmarkStart w:id="0" w:name="_GoBack"/>
      <w:bookmarkEnd w:id="0"/>
      <w:r w:rsidRPr="007924B6">
        <w:rPr>
          <w:rStyle w:val="NormalCharacter"/>
        </w:rPr>
        <w:t>日。申请者需在规定日期内提交纸质申请书一式三份（以邮戳日期为准），并通过</w:t>
      </w:r>
      <w:r w:rsidRPr="007924B6">
        <w:rPr>
          <w:rStyle w:val="NormalCharacter"/>
        </w:rPr>
        <w:t>E-mail</w:t>
      </w:r>
      <w:r w:rsidRPr="007924B6">
        <w:rPr>
          <w:rStyle w:val="NormalCharacter"/>
        </w:rPr>
        <w:t>将申请书电子版提交</w:t>
      </w:r>
      <w:r w:rsidR="009960C1" w:rsidRPr="007924B6">
        <w:rPr>
          <w:rStyle w:val="NormalCharacter"/>
        </w:rPr>
        <w:t>至秘书处</w:t>
      </w:r>
      <w:r w:rsidRPr="007924B6">
        <w:rPr>
          <w:rStyle w:val="NormalCharacter"/>
        </w:rPr>
        <w:t>。</w:t>
      </w:r>
    </w:p>
    <w:p w:rsidR="00545190" w:rsidRDefault="00ED4767" w:rsidP="00ED4767">
      <w:pPr>
        <w:snapToGrid w:val="0"/>
        <w:spacing w:before="120" w:after="61" w:line="312" w:lineRule="auto"/>
        <w:ind w:firstLineChars="200" w:firstLine="408"/>
        <w:rPr>
          <w:rStyle w:val="NormalCharacter"/>
          <w:rFonts w:ascii="宋体" w:hAnsi="宋体"/>
          <w:b/>
          <w:bCs/>
          <w:szCs w:val="21"/>
        </w:rPr>
      </w:pPr>
      <w:r w:rsidRPr="007924B6">
        <w:rPr>
          <w:rStyle w:val="NormalCharacter"/>
        </w:rPr>
        <w:t>2</w:t>
      </w:r>
      <w:r w:rsidRPr="007924B6">
        <w:rPr>
          <w:rStyle w:val="NormalCharacter"/>
        </w:rPr>
        <w:t>、</w:t>
      </w:r>
      <w:r w:rsidR="00E212AC" w:rsidRPr="007924B6">
        <w:rPr>
          <w:rStyle w:val="NormalCharacter"/>
        </w:rPr>
        <w:t>需提交课题年度进展报告</w:t>
      </w:r>
      <w:r w:rsidR="005C0807" w:rsidRPr="007924B6">
        <w:rPr>
          <w:rStyle w:val="NormalCharacter"/>
        </w:rPr>
        <w:t>，专家组将根据课题提交的年度进展报告，决定是否继续资助及资助经费的增减。</w:t>
      </w:r>
      <w:r w:rsidR="00E212AC" w:rsidRPr="007924B6">
        <w:rPr>
          <w:rStyle w:val="NormalCharacter"/>
        </w:rPr>
        <w:t>课题结束时，</w:t>
      </w:r>
      <w:r w:rsidRPr="007924B6">
        <w:rPr>
          <w:rStyle w:val="NormalCharacter"/>
          <w:rFonts w:ascii="宋体" w:hAnsi="宋体"/>
          <w:b/>
          <w:szCs w:val="21"/>
        </w:rPr>
        <w:t>科技资源</w:t>
      </w:r>
      <w:proofErr w:type="gramStart"/>
      <w:r w:rsidRPr="007924B6">
        <w:rPr>
          <w:rStyle w:val="NormalCharacter"/>
          <w:rFonts w:ascii="宋体" w:hAnsi="宋体"/>
          <w:b/>
          <w:szCs w:val="21"/>
        </w:rPr>
        <w:t>汇交</w:t>
      </w:r>
      <w:r w:rsidR="005C0807" w:rsidRPr="007924B6">
        <w:rPr>
          <w:rStyle w:val="NormalCharacter"/>
          <w:rFonts w:ascii="宋体" w:hAnsi="宋体"/>
          <w:b/>
          <w:szCs w:val="21"/>
        </w:rPr>
        <w:t>类</w:t>
      </w:r>
      <w:r w:rsidRPr="007924B6">
        <w:rPr>
          <w:rStyle w:val="NormalCharacter"/>
          <w:rFonts w:ascii="宋体" w:hAnsi="宋体"/>
          <w:b/>
          <w:bCs/>
          <w:szCs w:val="21"/>
        </w:rPr>
        <w:t>项目</w:t>
      </w:r>
      <w:proofErr w:type="gramEnd"/>
      <w:r w:rsidR="00E212AC" w:rsidRPr="007924B6">
        <w:rPr>
          <w:rStyle w:val="NormalCharacter"/>
        </w:rPr>
        <w:t>应</w:t>
      </w:r>
      <w:r w:rsidR="00E212AC" w:rsidRPr="007924B6">
        <w:rPr>
          <w:rStyle w:val="NormalCharacter"/>
          <w:b/>
        </w:rPr>
        <w:t>提交</w:t>
      </w:r>
      <w:r w:rsidRPr="007924B6">
        <w:rPr>
          <w:rStyle w:val="NormalCharacter"/>
          <w:b/>
        </w:rPr>
        <w:t>生物资源、与资源对应的数据库、</w:t>
      </w:r>
      <w:r w:rsidR="00E212AC" w:rsidRPr="007924B6">
        <w:rPr>
          <w:rStyle w:val="NormalCharacter"/>
          <w:b/>
        </w:rPr>
        <w:t>结题报告</w:t>
      </w:r>
      <w:r w:rsidR="00E212AC" w:rsidRPr="007924B6">
        <w:rPr>
          <w:rStyle w:val="NormalCharacter"/>
        </w:rPr>
        <w:t>。</w:t>
      </w:r>
      <w:r w:rsidRPr="007924B6">
        <w:rPr>
          <w:rStyle w:val="NormalCharacter"/>
          <w:rFonts w:ascii="宋体" w:hAnsi="宋体"/>
          <w:b/>
          <w:szCs w:val="21"/>
        </w:rPr>
        <w:t>资源探查</w:t>
      </w:r>
      <w:r w:rsidR="005C0807" w:rsidRPr="007924B6">
        <w:rPr>
          <w:rStyle w:val="NormalCharacter"/>
          <w:rFonts w:ascii="宋体" w:hAnsi="宋体"/>
          <w:b/>
          <w:szCs w:val="21"/>
        </w:rPr>
        <w:t>类</w:t>
      </w:r>
      <w:r w:rsidRPr="007924B6">
        <w:rPr>
          <w:rStyle w:val="NormalCharacter"/>
          <w:rFonts w:ascii="宋体" w:hAnsi="宋体"/>
          <w:b/>
          <w:szCs w:val="21"/>
        </w:rPr>
        <w:t>项目</w:t>
      </w:r>
      <w:r w:rsidRPr="007924B6">
        <w:rPr>
          <w:rStyle w:val="NormalCharacter"/>
        </w:rPr>
        <w:t>应</w:t>
      </w:r>
      <w:r w:rsidRPr="007924B6">
        <w:rPr>
          <w:rStyle w:val="NormalCharacter"/>
          <w:b/>
        </w:rPr>
        <w:t>提交生物资源、与资源对应的数据库、资源</w:t>
      </w:r>
      <w:r w:rsidR="005C0807" w:rsidRPr="007924B6">
        <w:rPr>
          <w:rStyle w:val="NormalCharacter"/>
          <w:b/>
        </w:rPr>
        <w:t>分布</w:t>
      </w:r>
      <w:r w:rsidRPr="007924B6">
        <w:rPr>
          <w:rStyle w:val="NormalCharacter"/>
          <w:b/>
        </w:rPr>
        <w:t>探查报告或综述</w:t>
      </w:r>
      <w:r w:rsidRPr="007924B6">
        <w:rPr>
          <w:rStyle w:val="NormalCharacter"/>
        </w:rPr>
        <w:t>。</w:t>
      </w:r>
    </w:p>
    <w:p w:rsidR="00545190" w:rsidRDefault="00E212AC">
      <w:pPr>
        <w:snapToGrid w:val="0"/>
        <w:spacing w:line="312" w:lineRule="auto"/>
        <w:ind w:firstLineChars="200" w:firstLine="408"/>
        <w:rPr>
          <w:rStyle w:val="NormalCharacter"/>
        </w:rPr>
      </w:pPr>
      <w:r w:rsidRPr="007924B6">
        <w:rPr>
          <w:rStyle w:val="NormalCharacter"/>
        </w:rPr>
        <w:t>3</w:t>
      </w:r>
      <w:r w:rsidRPr="007924B6">
        <w:rPr>
          <w:rStyle w:val="NormalCharacter"/>
        </w:rPr>
        <w:t>、根据</w:t>
      </w:r>
      <w:r w:rsidR="00ED4767" w:rsidRPr="007924B6">
        <w:rPr>
          <w:rStyle w:val="NormalCharacter"/>
        </w:rPr>
        <w:t>承担单位</w:t>
      </w:r>
      <w:r w:rsidRPr="007924B6">
        <w:rPr>
          <w:rStyle w:val="NormalCharacter"/>
        </w:rPr>
        <w:t>对</w:t>
      </w:r>
      <w:r w:rsidR="00ED4767" w:rsidRPr="007924B6">
        <w:rPr>
          <w:rStyle w:val="NormalCharacter"/>
        </w:rPr>
        <w:t>资源库</w:t>
      </w:r>
      <w:r w:rsidRPr="007924B6">
        <w:rPr>
          <w:rStyle w:val="NormalCharacter"/>
        </w:rPr>
        <w:t>管理的有关精神，研究人员承担课题所取得的成果（论文、专著、专利、获奖），</w:t>
      </w:r>
      <w:r w:rsidR="00ED4767" w:rsidRPr="007924B6">
        <w:rPr>
          <w:rStyle w:val="NormalCharacter"/>
        </w:rPr>
        <w:t>应</w:t>
      </w:r>
      <w:r w:rsidRPr="007924B6">
        <w:rPr>
          <w:rStyle w:val="NormalCharacter"/>
        </w:rPr>
        <w:t>在作者单位栏同时标注</w:t>
      </w:r>
      <w:r w:rsidR="00ED4767" w:rsidRPr="007924B6">
        <w:rPr>
          <w:rStyle w:val="NormalCharacter"/>
        </w:rPr>
        <w:t>TDRC</w:t>
      </w:r>
      <w:r w:rsidR="00ED4767" w:rsidRPr="007924B6">
        <w:rPr>
          <w:rStyle w:val="NormalCharacter"/>
        </w:rPr>
        <w:t>课题号</w:t>
      </w:r>
      <w:r w:rsidR="00C078D6" w:rsidRPr="007924B6">
        <w:rPr>
          <w:rStyle w:val="NormalCharacter"/>
        </w:rPr>
        <w:t>NPRC-2019-194-30</w:t>
      </w:r>
      <w:r w:rsidRPr="007924B6">
        <w:rPr>
          <w:rStyle w:val="NormalCharacter"/>
        </w:rPr>
        <w:t>。</w:t>
      </w:r>
    </w:p>
    <w:p w:rsidR="00545190" w:rsidRDefault="00545190">
      <w:pPr>
        <w:rPr>
          <w:rStyle w:val="NormalCharacter"/>
        </w:rPr>
      </w:pPr>
    </w:p>
    <w:sectPr w:rsidR="00545190">
      <w:footerReference w:type="even" r:id="rId7"/>
      <w:footerReference w:type="default" r:id="rId8"/>
      <w:pgSz w:w="11907" w:h="16840"/>
      <w:pgMar w:top="1701" w:right="1469" w:bottom="1418" w:left="1622" w:header="851" w:footer="992" w:gutter="0"/>
      <w:cols w:space="720"/>
      <w:docGrid w:type="linesAndChars" w:linePitch="305" w:charSpace="-1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C2" w:rsidRDefault="00D503C2">
      <w:r>
        <w:separator/>
      </w:r>
    </w:p>
  </w:endnote>
  <w:endnote w:type="continuationSeparator" w:id="0">
    <w:p w:rsidR="00D503C2" w:rsidRDefault="00D5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90" w:rsidRDefault="00545190">
    <w:pPr>
      <w:pStyle w:val="a4"/>
      <w:framePr w:wrap="around" w:hAnchor="text" w:xAlign="center"/>
      <w:rPr>
        <w:rStyle w:val="PageNumber"/>
      </w:rPr>
    </w:pPr>
  </w:p>
  <w:p w:rsidR="00545190" w:rsidRDefault="00545190">
    <w:pPr>
      <w:pStyle w:val="a4"/>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190" w:rsidRDefault="00545190">
    <w:pPr>
      <w:pStyle w:val="a4"/>
      <w:framePr w:wrap="around" w:hAnchor="text" w:xAlign="center"/>
      <w:rPr>
        <w:rStyle w:val="PageNumber"/>
      </w:rPr>
    </w:pPr>
  </w:p>
  <w:p w:rsidR="00545190" w:rsidRDefault="00545190">
    <w:pPr>
      <w:pStyle w:val="a4"/>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C2" w:rsidRDefault="00D503C2">
      <w:r>
        <w:separator/>
      </w:r>
    </w:p>
  </w:footnote>
  <w:footnote w:type="continuationSeparator" w:id="0">
    <w:p w:rsidR="00D503C2" w:rsidRDefault="00D5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
      <w:suff w:val="nothing"/>
      <w:lvlText w:val="%1、"/>
      <w:lvlJc w:val="left"/>
      <w:pPr>
        <w:widowControl/>
        <w:ind w:left="0" w:firstLine="420"/>
        <w:textAlignment w:val="baseline"/>
      </w:pPr>
    </w:lvl>
    <w:lvl w:ilvl="1">
      <w:start w:val="1"/>
      <w:numFmt w:val="decimal"/>
      <w:suff w:val="nothing"/>
      <w:lvlText w:val="%1．"/>
      <w:lvlJc w:val="left"/>
      <w:pPr>
        <w:widowControl/>
        <w:ind w:left="0" w:firstLine="420"/>
        <w:textAlignment w:val="baseline"/>
      </w:pPr>
    </w:lvl>
    <w:lvl w:ilvl="2">
      <w:start w:val="1"/>
      <w:numFmt w:val="decimal"/>
      <w:suff w:val="nothing"/>
      <w:lvlText w:val="（%1）"/>
      <w:lvlJc w:val="left"/>
      <w:pPr>
        <w:widowControl/>
        <w:ind w:left="0" w:firstLine="420"/>
        <w:textAlignment w:val="baseline"/>
      </w:pPr>
    </w:lvl>
    <w:lvl w:ilvl="3">
      <w:start w:val="1"/>
      <w:numFmt w:val="decimalEnclosedCircleChinese"/>
      <w:suff w:val="nothing"/>
      <w:lvlText w:val="%1"/>
      <w:lvlJc w:val="left"/>
      <w:pPr>
        <w:widowControl/>
        <w:ind w:left="0" w:firstLine="420"/>
        <w:textAlignment w:val="baseline"/>
      </w:pPr>
    </w:lvl>
    <w:lvl w:ilvl="4">
      <w:start w:val="1"/>
      <w:numFmt w:val="decimal"/>
      <w:suff w:val="nothing"/>
      <w:lvlText w:val="%1）"/>
      <w:lvlJc w:val="left"/>
      <w:pPr>
        <w:widowControl/>
        <w:ind w:left="0" w:firstLine="420"/>
        <w:textAlignment w:val="baseline"/>
      </w:pPr>
    </w:lvl>
    <w:lvl w:ilvl="5">
      <w:start w:val="1"/>
      <w:numFmt w:val="lowerLetter"/>
      <w:suff w:val="nothing"/>
      <w:lvlText w:val="%1．"/>
      <w:lvlJc w:val="left"/>
      <w:pPr>
        <w:widowControl/>
        <w:ind w:left="0" w:firstLine="420"/>
        <w:textAlignment w:val="baseline"/>
      </w:pPr>
    </w:lvl>
    <w:lvl w:ilvl="6">
      <w:start w:val="1"/>
      <w:numFmt w:val="lowerLetter"/>
      <w:suff w:val="nothing"/>
      <w:lvlText w:val="%1）"/>
      <w:lvlJc w:val="left"/>
      <w:pPr>
        <w:widowControl/>
        <w:ind w:left="0" w:firstLine="420"/>
        <w:textAlignment w:val="baseline"/>
      </w:pPr>
    </w:lvl>
    <w:lvl w:ilvl="7">
      <w:start w:val="1"/>
      <w:numFmt w:val="lowerRoman"/>
      <w:suff w:val="nothing"/>
      <w:lvlText w:val="%1．"/>
      <w:lvlJc w:val="left"/>
      <w:pPr>
        <w:widowControl/>
        <w:ind w:left="0" w:firstLine="420"/>
        <w:textAlignment w:val="baseline"/>
      </w:pPr>
    </w:lvl>
    <w:lvl w:ilvl="8">
      <w:start w:val="1"/>
      <w:numFmt w:val="lowerRoman"/>
      <w:suff w:val="nothing"/>
      <w:lvlText w:val="%1）"/>
      <w:lvlJc w:val="left"/>
      <w:pPr>
        <w:widowControl/>
        <w:ind w:left="0" w:firstLine="420"/>
        <w:textAlignment w:val="baseline"/>
      </w:pPr>
    </w:lvl>
  </w:abstractNum>
  <w:abstractNum w:abstractNumId="1" w15:restartNumberingAfterBreak="0">
    <w:nsid w:val="5C7D6499"/>
    <w:multiLevelType w:val="multilevel"/>
    <w:tmpl w:val="E36EA3A4"/>
    <w:lvl w:ilvl="0">
      <w:start w:val="1"/>
      <w:numFmt w:val="decimal"/>
      <w:lvlText w:val="%1、"/>
      <w:lvlJc w:val="left"/>
      <w:pPr>
        <w:widowControl/>
        <w:ind w:left="770" w:hanging="360"/>
        <w:textAlignment w:val="baseline"/>
      </w:pPr>
    </w:lvl>
    <w:lvl w:ilvl="1">
      <w:start w:val="1"/>
      <w:numFmt w:val="lowerLetter"/>
      <w:lvlText w:val="%1)"/>
      <w:lvlJc w:val="left"/>
      <w:pPr>
        <w:widowControl/>
        <w:ind w:left="1250" w:hanging="420"/>
        <w:textAlignment w:val="baseline"/>
      </w:pPr>
    </w:lvl>
    <w:lvl w:ilvl="2">
      <w:start w:val="1"/>
      <w:numFmt w:val="lowerRoman"/>
      <w:lvlText w:val="%1."/>
      <w:lvlJc w:val="right"/>
      <w:pPr>
        <w:widowControl/>
        <w:ind w:left="1670" w:hanging="420"/>
        <w:textAlignment w:val="baseline"/>
      </w:pPr>
    </w:lvl>
    <w:lvl w:ilvl="3">
      <w:start w:val="1"/>
      <w:numFmt w:val="decimal"/>
      <w:lvlText w:val="%1."/>
      <w:lvlJc w:val="left"/>
      <w:pPr>
        <w:widowControl/>
        <w:ind w:left="2090" w:hanging="420"/>
        <w:textAlignment w:val="baseline"/>
      </w:pPr>
    </w:lvl>
    <w:lvl w:ilvl="4">
      <w:start w:val="1"/>
      <w:numFmt w:val="lowerLetter"/>
      <w:lvlText w:val="%1)"/>
      <w:lvlJc w:val="left"/>
      <w:pPr>
        <w:widowControl/>
        <w:ind w:left="2510" w:hanging="420"/>
        <w:textAlignment w:val="baseline"/>
      </w:pPr>
    </w:lvl>
    <w:lvl w:ilvl="5">
      <w:start w:val="1"/>
      <w:numFmt w:val="lowerRoman"/>
      <w:lvlText w:val="%1."/>
      <w:lvlJc w:val="right"/>
      <w:pPr>
        <w:widowControl/>
        <w:ind w:left="2930" w:hanging="420"/>
        <w:textAlignment w:val="baseline"/>
      </w:pPr>
    </w:lvl>
    <w:lvl w:ilvl="6">
      <w:start w:val="1"/>
      <w:numFmt w:val="decimal"/>
      <w:lvlText w:val="%1."/>
      <w:lvlJc w:val="left"/>
      <w:pPr>
        <w:widowControl/>
        <w:ind w:left="3350" w:hanging="420"/>
        <w:textAlignment w:val="baseline"/>
      </w:pPr>
    </w:lvl>
    <w:lvl w:ilvl="7">
      <w:start w:val="1"/>
      <w:numFmt w:val="lowerLetter"/>
      <w:lvlText w:val="%1)"/>
      <w:lvlJc w:val="left"/>
      <w:pPr>
        <w:widowControl/>
        <w:ind w:left="3770" w:hanging="420"/>
        <w:textAlignment w:val="baseline"/>
      </w:pPr>
    </w:lvl>
    <w:lvl w:ilvl="8">
      <w:start w:val="1"/>
      <w:numFmt w:val="lowerRoman"/>
      <w:lvlText w:val="%1."/>
      <w:lvlJc w:val="right"/>
      <w:pPr>
        <w:widowControl/>
        <w:ind w:left="4190" w:hanging="420"/>
        <w:textAlignment w:val="baseline"/>
      </w:pPr>
    </w:lvl>
  </w:abstractNum>
  <w:abstractNum w:abstractNumId="2" w15:restartNumberingAfterBreak="0">
    <w:nsid w:val="6C4A3388"/>
    <w:multiLevelType w:val="multilevel"/>
    <w:tmpl w:val="47145994"/>
    <w:lvl w:ilvl="0">
      <w:start w:val="1"/>
      <w:numFmt w:val="decimal"/>
      <w:lvlText w:val="%1、"/>
      <w:lvlJc w:val="left"/>
      <w:pPr>
        <w:widowControl/>
        <w:ind w:left="786" w:hanging="360"/>
        <w:textAlignment w:val="baseline"/>
      </w:pPr>
    </w:lvl>
    <w:lvl w:ilvl="1">
      <w:start w:val="1"/>
      <w:numFmt w:val="lowerLetter"/>
      <w:lvlText w:val="%1)"/>
      <w:lvlJc w:val="left"/>
      <w:pPr>
        <w:widowControl/>
        <w:ind w:left="1266" w:hanging="420"/>
        <w:textAlignment w:val="baseline"/>
      </w:pPr>
    </w:lvl>
    <w:lvl w:ilvl="2">
      <w:start w:val="1"/>
      <w:numFmt w:val="lowerRoman"/>
      <w:lvlText w:val="%1."/>
      <w:lvlJc w:val="right"/>
      <w:pPr>
        <w:widowControl/>
        <w:ind w:left="1686" w:hanging="420"/>
        <w:textAlignment w:val="baseline"/>
      </w:pPr>
    </w:lvl>
    <w:lvl w:ilvl="3">
      <w:start w:val="1"/>
      <w:numFmt w:val="decimal"/>
      <w:lvlText w:val="%1."/>
      <w:lvlJc w:val="left"/>
      <w:pPr>
        <w:widowControl/>
        <w:ind w:left="2106" w:hanging="420"/>
        <w:textAlignment w:val="baseline"/>
      </w:pPr>
    </w:lvl>
    <w:lvl w:ilvl="4">
      <w:start w:val="1"/>
      <w:numFmt w:val="lowerLetter"/>
      <w:lvlText w:val="%1)"/>
      <w:lvlJc w:val="left"/>
      <w:pPr>
        <w:widowControl/>
        <w:ind w:left="2526" w:hanging="420"/>
        <w:textAlignment w:val="baseline"/>
      </w:pPr>
    </w:lvl>
    <w:lvl w:ilvl="5">
      <w:start w:val="1"/>
      <w:numFmt w:val="lowerRoman"/>
      <w:lvlText w:val="%1."/>
      <w:lvlJc w:val="right"/>
      <w:pPr>
        <w:widowControl/>
        <w:ind w:left="2946" w:hanging="420"/>
        <w:textAlignment w:val="baseline"/>
      </w:pPr>
    </w:lvl>
    <w:lvl w:ilvl="6">
      <w:start w:val="1"/>
      <w:numFmt w:val="decimal"/>
      <w:lvlText w:val="%1."/>
      <w:lvlJc w:val="left"/>
      <w:pPr>
        <w:widowControl/>
        <w:ind w:left="3366" w:hanging="420"/>
        <w:textAlignment w:val="baseline"/>
      </w:pPr>
    </w:lvl>
    <w:lvl w:ilvl="7">
      <w:start w:val="1"/>
      <w:numFmt w:val="lowerLetter"/>
      <w:lvlText w:val="%1)"/>
      <w:lvlJc w:val="left"/>
      <w:pPr>
        <w:widowControl/>
        <w:ind w:left="3786" w:hanging="420"/>
        <w:textAlignment w:val="baseline"/>
      </w:pPr>
    </w:lvl>
    <w:lvl w:ilvl="8">
      <w:start w:val="1"/>
      <w:numFmt w:val="lowerRoman"/>
      <w:lvlText w:val="%1."/>
      <w:lvlJc w:val="right"/>
      <w:pPr>
        <w:widowControl/>
        <w:ind w:left="4206" w:hanging="420"/>
        <w:textAlignment w:val="baseline"/>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isplayHorizontalDrawingGridEvery w:val="0"/>
  <w:displayVerticalDrawingGridEvery w:val="2"/>
  <w:doNotUseMarginsForDrawingGridOrigin/>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545190"/>
    <w:rsid w:val="0001064B"/>
    <w:rsid w:val="00014628"/>
    <w:rsid w:val="000369D5"/>
    <w:rsid w:val="000876E2"/>
    <w:rsid w:val="000E1511"/>
    <w:rsid w:val="00262255"/>
    <w:rsid w:val="0036359A"/>
    <w:rsid w:val="004A1F81"/>
    <w:rsid w:val="004A77A3"/>
    <w:rsid w:val="00545190"/>
    <w:rsid w:val="00586474"/>
    <w:rsid w:val="005C0807"/>
    <w:rsid w:val="005E45EE"/>
    <w:rsid w:val="00645B2B"/>
    <w:rsid w:val="006679F2"/>
    <w:rsid w:val="006E74A6"/>
    <w:rsid w:val="00702E74"/>
    <w:rsid w:val="0070732A"/>
    <w:rsid w:val="00721D14"/>
    <w:rsid w:val="007924B6"/>
    <w:rsid w:val="007D6439"/>
    <w:rsid w:val="008160E9"/>
    <w:rsid w:val="008B2BAA"/>
    <w:rsid w:val="008D3719"/>
    <w:rsid w:val="008D40DF"/>
    <w:rsid w:val="009960C1"/>
    <w:rsid w:val="00BC1841"/>
    <w:rsid w:val="00C078D6"/>
    <w:rsid w:val="00CA3137"/>
    <w:rsid w:val="00CE7C0E"/>
    <w:rsid w:val="00D22675"/>
    <w:rsid w:val="00D500C3"/>
    <w:rsid w:val="00D503C2"/>
    <w:rsid w:val="00D90B88"/>
    <w:rsid w:val="00E07F89"/>
    <w:rsid w:val="00E212AC"/>
    <w:rsid w:val="00E2528C"/>
    <w:rsid w:val="00EC6D61"/>
    <w:rsid w:val="00EC7622"/>
    <w:rsid w:val="00ED4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95B3D-E63E-4476-ADDC-6FB8FC6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styleId="a3">
    <w:name w:val="Hyperlink"/>
    <w:rPr>
      <w:color w:val="0000FF"/>
      <w:u w:val="single"/>
    </w:rPr>
  </w:style>
  <w:style w:type="character" w:customStyle="1" w:styleId="PageNumber">
    <w:name w:val="PageNumber"/>
    <w:basedOn w:val="NormalCharacter"/>
  </w:style>
  <w:style w:type="character" w:customStyle="1" w:styleId="AnnotationReference">
    <w:name w:val="AnnotationReference"/>
    <w:rPr>
      <w:sz w:val="21"/>
      <w:szCs w:val="21"/>
    </w:rPr>
  </w:style>
  <w:style w:type="character" w:customStyle="1" w:styleId="UserStyle0">
    <w:name w:val="UserStyle_0"/>
    <w:link w:val="AnnotationText"/>
    <w:rPr>
      <w:kern w:val="2"/>
      <w:sz w:val="21"/>
    </w:rPr>
  </w:style>
  <w:style w:type="character" w:customStyle="1" w:styleId="UserStyle1">
    <w:name w:val="UserStyle_1"/>
    <w:link w:val="AnnotationSubject"/>
    <w:rPr>
      <w:rFonts w:cs="Times New Roman"/>
      <w:b/>
      <w:bCs/>
      <w:kern w:val="2"/>
      <w:sz w:val="21"/>
    </w:rPr>
  </w:style>
  <w:style w:type="character" w:customStyle="1" w:styleId="UserStyle2">
    <w:name w:val="UserStyle_2"/>
    <w:link w:val="Acetate"/>
    <w:rPr>
      <w:kern w:val="2"/>
      <w:sz w:val="18"/>
      <w:szCs w:val="18"/>
    </w:rPr>
  </w:style>
  <w:style w:type="paragraph" w:customStyle="1" w:styleId="AnnotationText">
    <w:name w:val="AnnotationText"/>
    <w:basedOn w:val="a"/>
    <w:link w:val="UserStyle0"/>
    <w:pPr>
      <w:jc w:val="left"/>
    </w:pPr>
  </w:style>
  <w:style w:type="paragraph" w:styleId="a4">
    <w:name w:val="footer"/>
    <w:basedOn w:val="a"/>
    <w:pPr>
      <w:tabs>
        <w:tab w:val="center" w:pos="4153"/>
        <w:tab w:val="right" w:pos="8306"/>
      </w:tabs>
      <w:snapToGrid w:val="0"/>
      <w:jc w:val="left"/>
    </w:pPr>
    <w:rPr>
      <w:sz w:val="18"/>
    </w:rPr>
  </w:style>
  <w:style w:type="paragraph" w:customStyle="1" w:styleId="Acetate">
    <w:name w:val="Acetate"/>
    <w:basedOn w:val="a"/>
    <w:link w:val="UserStyle2"/>
    <w:rPr>
      <w:sz w:val="18"/>
      <w:szCs w:val="18"/>
    </w:rPr>
  </w:style>
  <w:style w:type="paragraph" w:customStyle="1" w:styleId="BodyText">
    <w:name w:val="BodyText"/>
    <w:basedOn w:val="a"/>
    <w:pPr>
      <w:snapToGrid w:val="0"/>
      <w:spacing w:line="312" w:lineRule="auto"/>
      <w:jc w:val="left"/>
    </w:pPr>
  </w:style>
  <w:style w:type="paragraph" w:customStyle="1" w:styleId="BodyTextIndent2">
    <w:name w:val="BodyTextIndent2"/>
    <w:basedOn w:val="a"/>
    <w:pPr>
      <w:spacing w:line="360" w:lineRule="exact"/>
      <w:ind w:firstLineChars="204" w:firstLine="408"/>
    </w:pPr>
  </w:style>
  <w:style w:type="paragraph" w:customStyle="1" w:styleId="AnnotationSubject">
    <w:name w:val="AnnotationSubject"/>
    <w:basedOn w:val="AnnotationText"/>
    <w:next w:val="AnnotationText"/>
    <w:link w:val="UserStyl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540</Words>
  <Characters>3083</Characters>
  <Application>Microsoft Office Word</Application>
  <DocSecurity>0</DocSecurity>
  <Lines>25</Lines>
  <Paragraphs>7</Paragraphs>
  <ScaleCrop>false</ScaleCrop>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Haimo Shen</cp:lastModifiedBy>
  <cp:revision>2</cp:revision>
  <dcterms:created xsi:type="dcterms:W3CDTF">2021-03-16T02:33:00Z</dcterms:created>
  <dcterms:modified xsi:type="dcterms:W3CDTF">2021-03-16T02:34:00Z</dcterms:modified>
</cp:coreProperties>
</file>